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4A1994" w14:textId="77777777" w:rsidR="00285C41" w:rsidRDefault="00285C41">
      <w:pPr>
        <w:widowControl w:val="0"/>
        <w:pBdr>
          <w:top w:val="nil"/>
          <w:left w:val="nil"/>
          <w:bottom w:val="nil"/>
          <w:right w:val="nil"/>
          <w:between w:val="nil"/>
        </w:pBdr>
        <w:spacing w:after="0" w:line="276" w:lineRule="auto"/>
        <w:rPr>
          <w:rFonts w:ascii="Arial" w:eastAsia="Arial" w:hAnsi="Arial" w:cs="Arial"/>
          <w:color w:val="000000"/>
        </w:rPr>
      </w:pPr>
      <w:bookmarkStart w:id="0" w:name="_GoBack"/>
      <w:bookmarkEnd w:id="0"/>
    </w:p>
    <w:tbl>
      <w:tblPr>
        <w:tblStyle w:val="a7"/>
        <w:tblW w:w="864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0"/>
      </w:tblGrid>
      <w:tr w:rsidR="00285C41" w14:paraId="123FD25E" w14:textId="77777777">
        <w:trPr>
          <w:trHeight w:val="432"/>
          <w:jc w:val="center"/>
        </w:trPr>
        <w:tc>
          <w:tcPr>
            <w:tcW w:w="8640" w:type="dxa"/>
            <w:tcBorders>
              <w:top w:val="single" w:sz="18" w:space="0" w:color="002169"/>
              <w:left w:val="single" w:sz="18" w:space="0" w:color="002169"/>
              <w:bottom w:val="single" w:sz="18" w:space="0" w:color="002169"/>
              <w:right w:val="single" w:sz="18" w:space="0" w:color="002169"/>
            </w:tcBorders>
            <w:vAlign w:val="center"/>
          </w:tcPr>
          <w:p w14:paraId="0EC40D53" w14:textId="77777777" w:rsidR="00285C41" w:rsidRDefault="005C3D5F">
            <w:pPr>
              <w:jc w:val="center"/>
              <w:rPr>
                <w:rFonts w:ascii="Arial" w:eastAsia="Arial" w:hAnsi="Arial" w:cs="Arial"/>
                <w:b/>
                <w:color w:val="002169"/>
                <w:sz w:val="32"/>
                <w:szCs w:val="32"/>
              </w:rPr>
            </w:pPr>
            <w:r>
              <w:rPr>
                <w:rFonts w:ascii="Arial" w:eastAsia="Arial" w:hAnsi="Arial" w:cs="Arial"/>
                <w:b/>
                <w:color w:val="002169"/>
                <w:sz w:val="32"/>
                <w:szCs w:val="32"/>
              </w:rPr>
              <w:t xml:space="preserve">INTRODUCTION TO THE METHODS OF </w:t>
            </w:r>
            <w:r>
              <w:rPr>
                <w:rFonts w:ascii="Arial" w:eastAsia="Arial" w:hAnsi="Arial" w:cs="Arial"/>
                <w:b/>
                <w:color w:val="002169"/>
                <w:sz w:val="32"/>
                <w:szCs w:val="32"/>
              </w:rPr>
              <w:br/>
              <w:t>CONSTITUTIONAL INTERPRETATION</w:t>
            </w:r>
          </w:p>
        </w:tc>
      </w:tr>
    </w:tbl>
    <w:p w14:paraId="35760FE1" w14:textId="77777777" w:rsidR="00285C41" w:rsidRDefault="00285C41">
      <w:pPr>
        <w:spacing w:before="120" w:after="0" w:line="240" w:lineRule="auto"/>
        <w:jc w:val="center"/>
        <w:rPr>
          <w:rFonts w:ascii="Arial" w:eastAsia="Arial" w:hAnsi="Arial" w:cs="Arial"/>
          <w:sz w:val="8"/>
          <w:szCs w:val="8"/>
        </w:rPr>
      </w:pPr>
    </w:p>
    <w:p w14:paraId="0D4BF944" w14:textId="77777777" w:rsidR="00285C41" w:rsidRDefault="005C3D5F">
      <w:pPr>
        <w:spacing w:after="0" w:line="240" w:lineRule="auto"/>
        <w:rPr>
          <w:rFonts w:ascii="Arial" w:eastAsia="Arial" w:hAnsi="Arial" w:cs="Arial"/>
          <w:color w:val="000000"/>
        </w:rPr>
      </w:pPr>
      <w:r>
        <w:rPr>
          <w:rFonts w:ascii="Arial" w:eastAsia="Arial" w:hAnsi="Arial" w:cs="Arial"/>
          <w:color w:val="000000"/>
        </w:rPr>
        <w:t>In this activity, you will explore different ways to interpret the Constitution. When reading the Constitution and interpreting its text, it’s important to focus on how the Constitution either expands or limits the powers of the government. This is how con</w:t>
      </w:r>
      <w:r>
        <w:rPr>
          <w:rFonts w:ascii="Arial" w:eastAsia="Arial" w:hAnsi="Arial" w:cs="Arial"/>
          <w:color w:val="000000"/>
        </w:rPr>
        <w:t>stitutional lawyers, scholars, and judges read, interpret, and apply the Constitution to new issues and cases. When interpreting the Constitution, there are different ways that people build arguments. There are seven standard forms of argument used by Amer</w:t>
      </w:r>
      <w:r>
        <w:rPr>
          <w:rFonts w:ascii="Arial" w:eastAsia="Arial" w:hAnsi="Arial" w:cs="Arial"/>
          <w:color w:val="000000"/>
        </w:rPr>
        <w:t>ican lawyers when interpreting the Constitution. Judges use these methods—and often combine them—when deciding constitutional cases, too. But not everyone agrees on which methods to use and how to weigh them in a given case. Different judges apply—and weig</w:t>
      </w:r>
      <w:r>
        <w:rPr>
          <w:rFonts w:ascii="Arial" w:eastAsia="Arial" w:hAnsi="Arial" w:cs="Arial"/>
          <w:color w:val="000000"/>
        </w:rPr>
        <w:t xml:space="preserve">h—these methods differently, and that can lead to disagreements over the Constitution’s meaning. </w:t>
      </w:r>
    </w:p>
    <w:p w14:paraId="36A666F7" w14:textId="77777777" w:rsidR="00285C41" w:rsidRDefault="005C3D5F">
      <w:pPr>
        <w:spacing w:after="0" w:line="240" w:lineRule="auto"/>
        <w:jc w:val="center"/>
        <w:rPr>
          <w:rFonts w:ascii="Arial" w:eastAsia="Arial" w:hAnsi="Arial" w:cs="Arial"/>
        </w:rPr>
      </w:pPr>
      <w:r>
        <w:rPr>
          <w:rFonts w:ascii="Arial" w:eastAsia="Arial" w:hAnsi="Arial" w:cs="Arial"/>
        </w:rPr>
        <w:t>___________</w:t>
      </w:r>
    </w:p>
    <w:p w14:paraId="28C8F397" w14:textId="77777777" w:rsidR="00285C41" w:rsidRDefault="00285C41">
      <w:pPr>
        <w:spacing w:after="0" w:line="240" w:lineRule="auto"/>
        <w:jc w:val="center"/>
        <w:rPr>
          <w:rFonts w:ascii="Arial" w:eastAsia="Arial" w:hAnsi="Arial" w:cs="Arial"/>
        </w:rPr>
      </w:pPr>
    </w:p>
    <w:p w14:paraId="4035A3E0" w14:textId="77777777" w:rsidR="00285C41" w:rsidRDefault="005C3D5F">
      <w:pPr>
        <w:spacing w:after="0" w:line="240" w:lineRule="auto"/>
        <w:rPr>
          <w:rFonts w:ascii="Arial" w:eastAsia="Arial" w:hAnsi="Arial" w:cs="Arial"/>
          <w:highlight w:val="white"/>
        </w:rPr>
      </w:pPr>
      <w:r>
        <w:rPr>
          <w:rFonts w:ascii="Arial" w:eastAsia="Arial" w:hAnsi="Arial" w:cs="Arial"/>
          <w:highlight w:val="white"/>
        </w:rPr>
        <w:t xml:space="preserve">What are different ways someone can interpret the Constitution? </w:t>
      </w:r>
    </w:p>
    <w:p w14:paraId="64DC8ECE" w14:textId="77777777" w:rsidR="00285C41" w:rsidRDefault="00285C41">
      <w:pPr>
        <w:spacing w:after="0" w:line="240" w:lineRule="auto"/>
        <w:rPr>
          <w:rFonts w:ascii="Arial" w:eastAsia="Arial" w:hAnsi="Arial" w:cs="Arial"/>
          <w:highlight w:val="white"/>
        </w:rPr>
      </w:pPr>
      <w:bookmarkStart w:id="1" w:name="_heading=h.30j0zll" w:colFirst="0" w:colLast="0"/>
      <w:bookmarkEnd w:id="1"/>
    </w:p>
    <w:p w14:paraId="7C5F6B25" w14:textId="77777777" w:rsidR="00285C41" w:rsidRDefault="005C3D5F">
      <w:pPr>
        <w:spacing w:after="0" w:line="240" w:lineRule="auto"/>
        <w:rPr>
          <w:rFonts w:ascii="Arial" w:eastAsia="Arial" w:hAnsi="Arial" w:cs="Arial"/>
        </w:rPr>
      </w:pPr>
      <w:bookmarkStart w:id="2" w:name="_heading=h.s58iaiqcilu4" w:colFirst="0" w:colLast="0"/>
      <w:bookmarkEnd w:id="2"/>
      <w:r>
        <w:rPr>
          <w:rFonts w:ascii="Arial" w:eastAsia="Arial" w:hAnsi="Arial" w:cs="Arial"/>
        </w:rPr>
        <w:t>Review</w:t>
      </w:r>
      <w:r>
        <w:rPr>
          <w:rFonts w:ascii="Arial" w:eastAsia="Arial" w:hAnsi="Arial" w:cs="Arial"/>
          <w:color w:val="000000"/>
        </w:rPr>
        <w:t xml:space="preserve"> the seven methods </w:t>
      </w:r>
      <w:r>
        <w:rPr>
          <w:rFonts w:ascii="Arial" w:eastAsia="Arial" w:hAnsi="Arial" w:cs="Arial"/>
        </w:rPr>
        <w:t>of constitutional interpretation and complete the char</w:t>
      </w:r>
      <w:r>
        <w:rPr>
          <w:rFonts w:ascii="Arial" w:eastAsia="Arial" w:hAnsi="Arial" w:cs="Arial"/>
        </w:rPr>
        <w:t xml:space="preserve">t below. </w:t>
      </w:r>
    </w:p>
    <w:p w14:paraId="739E635F" w14:textId="77777777" w:rsidR="00285C41" w:rsidRDefault="00285C41">
      <w:pPr>
        <w:spacing w:after="0" w:line="240" w:lineRule="auto"/>
        <w:rPr>
          <w:rFonts w:ascii="Arial" w:eastAsia="Arial" w:hAnsi="Arial" w:cs="Arial"/>
          <w:sz w:val="24"/>
          <w:szCs w:val="24"/>
        </w:rPr>
      </w:pPr>
    </w:p>
    <w:tbl>
      <w:tblPr>
        <w:tblStyle w:val="a8"/>
        <w:tblW w:w="9480" w:type="dxa"/>
        <w:tblInd w:w="150" w:type="dxa"/>
        <w:tblBorders>
          <w:top w:val="single" w:sz="12" w:space="0" w:color="00BCCA"/>
          <w:left w:val="single" w:sz="12" w:space="0" w:color="00BCCA"/>
          <w:bottom w:val="single" w:sz="12" w:space="0" w:color="00BCCA"/>
          <w:right w:val="single" w:sz="12" w:space="0" w:color="00BCCA"/>
          <w:insideH w:val="single" w:sz="12" w:space="0" w:color="00BCCA"/>
          <w:insideV w:val="single" w:sz="12" w:space="0" w:color="00BCCA"/>
        </w:tblBorders>
        <w:tblLayout w:type="fixed"/>
        <w:tblLook w:val="0400" w:firstRow="0" w:lastRow="0" w:firstColumn="0" w:lastColumn="0" w:noHBand="0" w:noVBand="1"/>
      </w:tblPr>
      <w:tblGrid>
        <w:gridCol w:w="1905"/>
        <w:gridCol w:w="2641"/>
        <w:gridCol w:w="2467"/>
        <w:gridCol w:w="2467"/>
      </w:tblGrid>
      <w:tr w:rsidR="00285C41" w14:paraId="404A80C6" w14:textId="77777777" w:rsidTr="00940784">
        <w:trPr>
          <w:trHeight w:val="1176"/>
        </w:trPr>
        <w:tc>
          <w:tcPr>
            <w:tcW w:w="1905" w:type="dxa"/>
            <w:shd w:val="clear" w:color="auto" w:fill="F3F3F3"/>
            <w:tcMar>
              <w:top w:w="72" w:type="dxa"/>
              <w:left w:w="144" w:type="dxa"/>
              <w:bottom w:w="72" w:type="dxa"/>
              <w:right w:w="144" w:type="dxa"/>
            </w:tcMar>
            <w:vAlign w:val="center"/>
          </w:tcPr>
          <w:p w14:paraId="1E573A4F" w14:textId="77777777" w:rsidR="00285C41" w:rsidRDefault="005C3D5F">
            <w:pPr>
              <w:jc w:val="center"/>
              <w:rPr>
                <w:rFonts w:ascii="Arial" w:eastAsia="Arial" w:hAnsi="Arial" w:cs="Arial"/>
                <w:color w:val="002169"/>
              </w:rPr>
            </w:pPr>
            <w:r>
              <w:rPr>
                <w:rFonts w:ascii="Arial" w:eastAsia="Arial" w:hAnsi="Arial" w:cs="Arial"/>
                <w:color w:val="002169"/>
              </w:rPr>
              <w:t>Method</w:t>
            </w:r>
          </w:p>
        </w:tc>
        <w:tc>
          <w:tcPr>
            <w:tcW w:w="2641" w:type="dxa"/>
            <w:tcMar>
              <w:top w:w="72" w:type="dxa"/>
              <w:left w:w="144" w:type="dxa"/>
              <w:bottom w:w="72" w:type="dxa"/>
              <w:right w:w="144" w:type="dxa"/>
            </w:tcMar>
            <w:vAlign w:val="center"/>
          </w:tcPr>
          <w:p w14:paraId="1364B9D9" w14:textId="77777777" w:rsidR="00285C41" w:rsidRDefault="005C3D5F">
            <w:pPr>
              <w:rPr>
                <w:rFonts w:ascii="Arial" w:eastAsia="Arial" w:hAnsi="Arial" w:cs="Arial"/>
                <w:b/>
                <w:i/>
                <w:color w:val="002169"/>
              </w:rPr>
            </w:pPr>
            <w:r>
              <w:rPr>
                <w:rFonts w:ascii="Arial" w:eastAsia="Arial" w:hAnsi="Arial" w:cs="Arial"/>
                <w:color w:val="002169"/>
              </w:rPr>
              <w:t>Definition</w:t>
            </w:r>
            <w:r>
              <w:rPr>
                <w:rFonts w:ascii="Arial" w:eastAsia="Arial" w:hAnsi="Arial" w:cs="Arial"/>
                <w:b/>
                <w:color w:val="002169"/>
              </w:rPr>
              <w:t xml:space="preserve"> </w:t>
            </w:r>
            <w:r>
              <w:rPr>
                <w:rFonts w:ascii="Arial" w:eastAsia="Arial" w:hAnsi="Arial" w:cs="Arial"/>
                <w:b/>
                <w:color w:val="002169"/>
              </w:rPr>
              <w:br/>
            </w:r>
            <w:r>
              <w:rPr>
                <w:rFonts w:ascii="Arial" w:eastAsia="Arial" w:hAnsi="Arial" w:cs="Arial"/>
                <w:color w:val="002169"/>
              </w:rPr>
              <w:t>Underline the key ideas, words, or phrases.</w:t>
            </w:r>
            <w:r>
              <w:rPr>
                <w:rFonts w:ascii="Arial" w:eastAsia="Arial" w:hAnsi="Arial" w:cs="Arial"/>
                <w:i/>
                <w:color w:val="002169"/>
              </w:rPr>
              <w:t xml:space="preserve"> </w:t>
            </w:r>
          </w:p>
        </w:tc>
        <w:tc>
          <w:tcPr>
            <w:tcW w:w="2467" w:type="dxa"/>
            <w:tcMar>
              <w:top w:w="72" w:type="dxa"/>
              <w:left w:w="144" w:type="dxa"/>
              <w:bottom w:w="72" w:type="dxa"/>
              <w:right w:w="144" w:type="dxa"/>
            </w:tcMar>
            <w:vAlign w:val="center"/>
          </w:tcPr>
          <w:p w14:paraId="1A3A88CF" w14:textId="77777777" w:rsidR="00285C41" w:rsidRDefault="005C3D5F">
            <w:pPr>
              <w:rPr>
                <w:rFonts w:ascii="Arial" w:eastAsia="Arial" w:hAnsi="Arial" w:cs="Arial"/>
                <w:color w:val="002169"/>
              </w:rPr>
            </w:pPr>
            <w:r>
              <w:rPr>
                <w:rFonts w:ascii="Arial" w:eastAsia="Arial" w:hAnsi="Arial" w:cs="Arial"/>
                <w:color w:val="002169"/>
              </w:rPr>
              <w:t xml:space="preserve">Explain this method in your own words. </w:t>
            </w:r>
          </w:p>
        </w:tc>
        <w:tc>
          <w:tcPr>
            <w:tcW w:w="2467" w:type="dxa"/>
            <w:tcMar>
              <w:top w:w="72" w:type="dxa"/>
              <w:left w:w="144" w:type="dxa"/>
              <w:bottom w:w="72" w:type="dxa"/>
              <w:right w:w="144" w:type="dxa"/>
            </w:tcMar>
            <w:vAlign w:val="center"/>
          </w:tcPr>
          <w:p w14:paraId="529F31E8" w14:textId="77777777" w:rsidR="00285C41" w:rsidRDefault="005C3D5F">
            <w:pPr>
              <w:rPr>
                <w:rFonts w:ascii="Arial" w:eastAsia="Arial" w:hAnsi="Arial" w:cs="Arial"/>
                <w:color w:val="002169"/>
              </w:rPr>
            </w:pPr>
            <w:r>
              <w:rPr>
                <w:rFonts w:ascii="Arial" w:eastAsia="Arial" w:hAnsi="Arial" w:cs="Arial"/>
                <w:color w:val="002169"/>
              </w:rPr>
              <w:t xml:space="preserve">Write down any questions that you have about this method. </w:t>
            </w:r>
          </w:p>
        </w:tc>
      </w:tr>
      <w:tr w:rsidR="00285C41" w14:paraId="726F6CAA" w14:textId="77777777" w:rsidTr="00940784">
        <w:trPr>
          <w:trHeight w:val="2088"/>
        </w:trPr>
        <w:tc>
          <w:tcPr>
            <w:tcW w:w="1905" w:type="dxa"/>
            <w:shd w:val="clear" w:color="auto" w:fill="F3F3F3"/>
            <w:tcMar>
              <w:top w:w="72" w:type="dxa"/>
              <w:left w:w="144" w:type="dxa"/>
              <w:bottom w:w="72" w:type="dxa"/>
              <w:right w:w="144" w:type="dxa"/>
            </w:tcMar>
            <w:vAlign w:val="center"/>
          </w:tcPr>
          <w:p w14:paraId="053B1090" w14:textId="77777777" w:rsidR="00285C41" w:rsidRDefault="005C3D5F">
            <w:pPr>
              <w:jc w:val="center"/>
              <w:rPr>
                <w:rFonts w:ascii="Arial" w:eastAsia="Arial" w:hAnsi="Arial" w:cs="Arial"/>
                <w:color w:val="002169"/>
              </w:rPr>
            </w:pPr>
            <w:r>
              <w:rPr>
                <w:rFonts w:ascii="Arial" w:eastAsia="Arial" w:hAnsi="Arial" w:cs="Arial"/>
                <w:color w:val="002169"/>
              </w:rPr>
              <w:t>Text</w:t>
            </w:r>
          </w:p>
        </w:tc>
        <w:tc>
          <w:tcPr>
            <w:tcW w:w="2641" w:type="dxa"/>
            <w:tcMar>
              <w:top w:w="72" w:type="dxa"/>
              <w:left w:w="144" w:type="dxa"/>
              <w:bottom w:w="72" w:type="dxa"/>
              <w:right w:w="144" w:type="dxa"/>
            </w:tcMar>
            <w:vAlign w:val="center"/>
          </w:tcPr>
          <w:p w14:paraId="45F7159E" w14:textId="77777777" w:rsidR="00285C41" w:rsidRDefault="005C3D5F">
            <w:pPr>
              <w:rPr>
                <w:rFonts w:ascii="Arial" w:eastAsia="Arial" w:hAnsi="Arial" w:cs="Arial"/>
                <w:color w:val="002169"/>
              </w:rPr>
            </w:pPr>
            <w:r>
              <w:rPr>
                <w:rFonts w:ascii="Arial" w:eastAsia="Arial" w:hAnsi="Arial" w:cs="Arial"/>
                <w:color w:val="002169"/>
              </w:rPr>
              <w:t>A judge looks at the meaning of the words in the Constitution, relying on common understandings of what the words meant at the time the provision was added.</w:t>
            </w:r>
          </w:p>
        </w:tc>
        <w:tc>
          <w:tcPr>
            <w:tcW w:w="2467" w:type="dxa"/>
            <w:tcMar>
              <w:top w:w="72" w:type="dxa"/>
              <w:left w:w="144" w:type="dxa"/>
              <w:bottom w:w="72" w:type="dxa"/>
              <w:right w:w="144" w:type="dxa"/>
            </w:tcMar>
            <w:vAlign w:val="center"/>
          </w:tcPr>
          <w:p w14:paraId="330515CE" w14:textId="77777777" w:rsidR="00285C41" w:rsidRDefault="00285C41">
            <w:pPr>
              <w:rPr>
                <w:rFonts w:ascii="Arial" w:eastAsia="Arial" w:hAnsi="Arial" w:cs="Arial"/>
                <w:color w:val="002169"/>
              </w:rPr>
            </w:pPr>
          </w:p>
        </w:tc>
        <w:tc>
          <w:tcPr>
            <w:tcW w:w="2467" w:type="dxa"/>
            <w:tcMar>
              <w:top w:w="72" w:type="dxa"/>
              <w:left w:w="144" w:type="dxa"/>
              <w:bottom w:w="72" w:type="dxa"/>
              <w:right w:w="144" w:type="dxa"/>
            </w:tcMar>
            <w:vAlign w:val="center"/>
          </w:tcPr>
          <w:p w14:paraId="65225DA5" w14:textId="77777777" w:rsidR="00285C41" w:rsidRDefault="00285C41">
            <w:pPr>
              <w:rPr>
                <w:rFonts w:ascii="Arial" w:eastAsia="Arial" w:hAnsi="Arial" w:cs="Arial"/>
                <w:color w:val="002169"/>
              </w:rPr>
            </w:pPr>
          </w:p>
        </w:tc>
      </w:tr>
      <w:tr w:rsidR="00285C41" w14:paraId="69CFC2BB" w14:textId="77777777" w:rsidTr="00940784">
        <w:trPr>
          <w:trHeight w:val="2088"/>
        </w:trPr>
        <w:tc>
          <w:tcPr>
            <w:tcW w:w="1905" w:type="dxa"/>
            <w:shd w:val="clear" w:color="auto" w:fill="F3F3F3"/>
            <w:tcMar>
              <w:top w:w="72" w:type="dxa"/>
              <w:left w:w="144" w:type="dxa"/>
              <w:bottom w:w="72" w:type="dxa"/>
              <w:right w:w="144" w:type="dxa"/>
            </w:tcMar>
            <w:vAlign w:val="center"/>
          </w:tcPr>
          <w:p w14:paraId="37A89AE9" w14:textId="77777777" w:rsidR="00285C41" w:rsidRDefault="005C3D5F">
            <w:pPr>
              <w:jc w:val="center"/>
              <w:rPr>
                <w:rFonts w:ascii="Arial" w:eastAsia="Arial" w:hAnsi="Arial" w:cs="Arial"/>
                <w:color w:val="002169"/>
              </w:rPr>
            </w:pPr>
            <w:r>
              <w:rPr>
                <w:rFonts w:ascii="Arial" w:eastAsia="Arial" w:hAnsi="Arial" w:cs="Arial"/>
                <w:color w:val="002169"/>
              </w:rPr>
              <w:t>History </w:t>
            </w:r>
          </w:p>
        </w:tc>
        <w:tc>
          <w:tcPr>
            <w:tcW w:w="2641" w:type="dxa"/>
            <w:tcMar>
              <w:top w:w="72" w:type="dxa"/>
              <w:left w:w="144" w:type="dxa"/>
              <w:bottom w:w="72" w:type="dxa"/>
              <w:right w:w="144" w:type="dxa"/>
            </w:tcMar>
            <w:vAlign w:val="center"/>
          </w:tcPr>
          <w:p w14:paraId="5A4BBEE0" w14:textId="77777777" w:rsidR="00285C41" w:rsidRDefault="005C3D5F">
            <w:pPr>
              <w:rPr>
                <w:rFonts w:ascii="Arial" w:eastAsia="Arial" w:hAnsi="Arial" w:cs="Arial"/>
                <w:color w:val="002169"/>
              </w:rPr>
            </w:pPr>
            <w:r>
              <w:rPr>
                <w:rFonts w:ascii="Arial" w:eastAsia="Arial" w:hAnsi="Arial" w:cs="Arial"/>
                <w:color w:val="002169"/>
              </w:rPr>
              <w:t>A judge looks to the historical context of when a given provision was drafted and ratified to shed light on its meaning.</w:t>
            </w:r>
          </w:p>
        </w:tc>
        <w:tc>
          <w:tcPr>
            <w:tcW w:w="2467" w:type="dxa"/>
            <w:tcMar>
              <w:top w:w="72" w:type="dxa"/>
              <w:left w:w="144" w:type="dxa"/>
              <w:bottom w:w="72" w:type="dxa"/>
              <w:right w:w="144" w:type="dxa"/>
            </w:tcMar>
            <w:vAlign w:val="center"/>
          </w:tcPr>
          <w:p w14:paraId="26E6763C" w14:textId="77777777" w:rsidR="00285C41" w:rsidRDefault="00285C41">
            <w:pPr>
              <w:rPr>
                <w:rFonts w:ascii="Arial" w:eastAsia="Arial" w:hAnsi="Arial" w:cs="Arial"/>
                <w:color w:val="002169"/>
              </w:rPr>
            </w:pPr>
          </w:p>
        </w:tc>
        <w:tc>
          <w:tcPr>
            <w:tcW w:w="2467" w:type="dxa"/>
            <w:tcMar>
              <w:top w:w="72" w:type="dxa"/>
              <w:left w:w="144" w:type="dxa"/>
              <w:bottom w:w="72" w:type="dxa"/>
              <w:right w:w="144" w:type="dxa"/>
            </w:tcMar>
            <w:vAlign w:val="center"/>
          </w:tcPr>
          <w:p w14:paraId="7252B3FC" w14:textId="77777777" w:rsidR="00285C41" w:rsidRDefault="00285C41">
            <w:pPr>
              <w:rPr>
                <w:rFonts w:ascii="Arial" w:eastAsia="Arial" w:hAnsi="Arial" w:cs="Arial"/>
                <w:color w:val="002169"/>
              </w:rPr>
            </w:pPr>
          </w:p>
        </w:tc>
      </w:tr>
      <w:tr w:rsidR="00285C41" w14:paraId="3761B1C4" w14:textId="77777777" w:rsidTr="00940784">
        <w:trPr>
          <w:trHeight w:val="2088"/>
        </w:trPr>
        <w:tc>
          <w:tcPr>
            <w:tcW w:w="1905" w:type="dxa"/>
            <w:shd w:val="clear" w:color="auto" w:fill="F3F3F3"/>
            <w:tcMar>
              <w:top w:w="72" w:type="dxa"/>
              <w:left w:w="144" w:type="dxa"/>
              <w:bottom w:w="72" w:type="dxa"/>
              <w:right w:w="144" w:type="dxa"/>
            </w:tcMar>
            <w:vAlign w:val="center"/>
          </w:tcPr>
          <w:p w14:paraId="626E6742" w14:textId="77777777" w:rsidR="00285C41" w:rsidRDefault="005C3D5F">
            <w:pPr>
              <w:jc w:val="center"/>
              <w:rPr>
                <w:rFonts w:ascii="Arial" w:eastAsia="Arial" w:hAnsi="Arial" w:cs="Arial"/>
                <w:color w:val="002169"/>
              </w:rPr>
            </w:pPr>
            <w:r>
              <w:rPr>
                <w:rFonts w:ascii="Arial" w:eastAsia="Arial" w:hAnsi="Arial" w:cs="Arial"/>
                <w:color w:val="002169"/>
              </w:rPr>
              <w:lastRenderedPageBreak/>
              <w:t>Tradition </w:t>
            </w:r>
          </w:p>
        </w:tc>
        <w:tc>
          <w:tcPr>
            <w:tcW w:w="2641" w:type="dxa"/>
            <w:tcMar>
              <w:top w:w="72" w:type="dxa"/>
              <w:left w:w="144" w:type="dxa"/>
              <w:bottom w:w="72" w:type="dxa"/>
              <w:right w:w="144" w:type="dxa"/>
            </w:tcMar>
            <w:vAlign w:val="center"/>
          </w:tcPr>
          <w:p w14:paraId="407C3B53" w14:textId="77777777" w:rsidR="00285C41" w:rsidRDefault="005C3D5F">
            <w:pPr>
              <w:rPr>
                <w:rFonts w:ascii="Arial" w:eastAsia="Arial" w:hAnsi="Arial" w:cs="Arial"/>
                <w:color w:val="002169"/>
              </w:rPr>
            </w:pPr>
            <w:r>
              <w:rPr>
                <w:rFonts w:ascii="Arial" w:eastAsia="Arial" w:hAnsi="Arial" w:cs="Arial"/>
                <w:color w:val="002169"/>
              </w:rPr>
              <w:t>A judge looks to any laws, customs, and practices established after the framing and ratification of a given provision.</w:t>
            </w:r>
          </w:p>
        </w:tc>
        <w:tc>
          <w:tcPr>
            <w:tcW w:w="2467" w:type="dxa"/>
            <w:tcMar>
              <w:top w:w="72" w:type="dxa"/>
              <w:left w:w="144" w:type="dxa"/>
              <w:bottom w:w="72" w:type="dxa"/>
              <w:right w:w="144" w:type="dxa"/>
            </w:tcMar>
            <w:vAlign w:val="center"/>
          </w:tcPr>
          <w:p w14:paraId="78FCABA7" w14:textId="77777777" w:rsidR="00285C41" w:rsidRDefault="00285C41">
            <w:pPr>
              <w:rPr>
                <w:rFonts w:ascii="Arial" w:eastAsia="Arial" w:hAnsi="Arial" w:cs="Arial"/>
                <w:color w:val="002169"/>
              </w:rPr>
            </w:pPr>
          </w:p>
        </w:tc>
        <w:tc>
          <w:tcPr>
            <w:tcW w:w="2467" w:type="dxa"/>
            <w:tcMar>
              <w:top w:w="72" w:type="dxa"/>
              <w:left w:w="144" w:type="dxa"/>
              <w:bottom w:w="72" w:type="dxa"/>
              <w:right w:w="144" w:type="dxa"/>
            </w:tcMar>
            <w:vAlign w:val="center"/>
          </w:tcPr>
          <w:p w14:paraId="105210F8" w14:textId="77777777" w:rsidR="00285C41" w:rsidRDefault="00285C41">
            <w:pPr>
              <w:rPr>
                <w:rFonts w:ascii="Arial" w:eastAsia="Arial" w:hAnsi="Arial" w:cs="Arial"/>
                <w:color w:val="002169"/>
              </w:rPr>
            </w:pPr>
          </w:p>
        </w:tc>
      </w:tr>
      <w:tr w:rsidR="00285C41" w14:paraId="3FDB7FEE" w14:textId="77777777" w:rsidTr="00940784">
        <w:trPr>
          <w:trHeight w:val="2088"/>
        </w:trPr>
        <w:tc>
          <w:tcPr>
            <w:tcW w:w="1905" w:type="dxa"/>
            <w:shd w:val="clear" w:color="auto" w:fill="F3F3F3"/>
            <w:tcMar>
              <w:top w:w="72" w:type="dxa"/>
              <w:left w:w="144" w:type="dxa"/>
              <w:bottom w:w="72" w:type="dxa"/>
              <w:right w:w="144" w:type="dxa"/>
            </w:tcMar>
            <w:vAlign w:val="center"/>
          </w:tcPr>
          <w:p w14:paraId="39ED8478" w14:textId="77777777" w:rsidR="00285C41" w:rsidRDefault="005C3D5F">
            <w:pPr>
              <w:jc w:val="center"/>
              <w:rPr>
                <w:rFonts w:ascii="Arial" w:eastAsia="Arial" w:hAnsi="Arial" w:cs="Arial"/>
                <w:color w:val="002169"/>
              </w:rPr>
            </w:pPr>
            <w:r>
              <w:rPr>
                <w:rFonts w:ascii="Arial" w:eastAsia="Arial" w:hAnsi="Arial" w:cs="Arial"/>
                <w:color w:val="002169"/>
              </w:rPr>
              <w:t>Precedent</w:t>
            </w:r>
          </w:p>
        </w:tc>
        <w:tc>
          <w:tcPr>
            <w:tcW w:w="2641" w:type="dxa"/>
            <w:tcMar>
              <w:top w:w="72" w:type="dxa"/>
              <w:left w:w="144" w:type="dxa"/>
              <w:bottom w:w="72" w:type="dxa"/>
              <w:right w:w="144" w:type="dxa"/>
            </w:tcMar>
            <w:vAlign w:val="center"/>
          </w:tcPr>
          <w:p w14:paraId="67FFC862" w14:textId="77777777" w:rsidR="00285C41" w:rsidRDefault="005C3D5F">
            <w:pPr>
              <w:rPr>
                <w:rFonts w:ascii="Arial" w:eastAsia="Arial" w:hAnsi="Arial" w:cs="Arial"/>
                <w:color w:val="002169"/>
              </w:rPr>
            </w:pPr>
            <w:r>
              <w:rPr>
                <w:rFonts w:ascii="Arial" w:eastAsia="Arial" w:hAnsi="Arial" w:cs="Arial"/>
                <w:color w:val="002169"/>
              </w:rPr>
              <w:t>A judge applies rules established by precedents—taking rulings in old cases and applying them to new cases.</w:t>
            </w:r>
          </w:p>
        </w:tc>
        <w:tc>
          <w:tcPr>
            <w:tcW w:w="2467" w:type="dxa"/>
            <w:tcMar>
              <w:top w:w="72" w:type="dxa"/>
              <w:left w:w="144" w:type="dxa"/>
              <w:bottom w:w="72" w:type="dxa"/>
              <w:right w:w="144" w:type="dxa"/>
            </w:tcMar>
            <w:vAlign w:val="center"/>
          </w:tcPr>
          <w:p w14:paraId="5AB73ACE" w14:textId="77777777" w:rsidR="00285C41" w:rsidRDefault="00285C41">
            <w:pPr>
              <w:rPr>
                <w:rFonts w:ascii="Arial" w:eastAsia="Arial" w:hAnsi="Arial" w:cs="Arial"/>
                <w:color w:val="002169"/>
              </w:rPr>
            </w:pPr>
          </w:p>
        </w:tc>
        <w:tc>
          <w:tcPr>
            <w:tcW w:w="2467" w:type="dxa"/>
            <w:tcMar>
              <w:top w:w="72" w:type="dxa"/>
              <w:left w:w="144" w:type="dxa"/>
              <w:bottom w:w="72" w:type="dxa"/>
              <w:right w:w="144" w:type="dxa"/>
            </w:tcMar>
            <w:vAlign w:val="center"/>
          </w:tcPr>
          <w:p w14:paraId="4257DD8F" w14:textId="77777777" w:rsidR="00285C41" w:rsidRDefault="00285C41">
            <w:pPr>
              <w:rPr>
                <w:rFonts w:ascii="Arial" w:eastAsia="Arial" w:hAnsi="Arial" w:cs="Arial"/>
                <w:color w:val="002169"/>
              </w:rPr>
            </w:pPr>
          </w:p>
        </w:tc>
      </w:tr>
      <w:tr w:rsidR="00285C41" w14:paraId="4B608A10" w14:textId="77777777" w:rsidTr="00940784">
        <w:trPr>
          <w:cantSplit/>
          <w:trHeight w:val="2088"/>
        </w:trPr>
        <w:tc>
          <w:tcPr>
            <w:tcW w:w="1905" w:type="dxa"/>
            <w:shd w:val="clear" w:color="auto" w:fill="F3F3F3"/>
            <w:tcMar>
              <w:top w:w="72" w:type="dxa"/>
              <w:left w:w="144" w:type="dxa"/>
              <w:bottom w:w="72" w:type="dxa"/>
              <w:right w:w="144" w:type="dxa"/>
            </w:tcMar>
            <w:vAlign w:val="center"/>
          </w:tcPr>
          <w:p w14:paraId="62C7A427" w14:textId="77777777" w:rsidR="00285C41" w:rsidRDefault="005C3D5F">
            <w:pPr>
              <w:jc w:val="center"/>
              <w:rPr>
                <w:rFonts w:ascii="Arial" w:eastAsia="Arial" w:hAnsi="Arial" w:cs="Arial"/>
                <w:color w:val="002169"/>
              </w:rPr>
            </w:pPr>
            <w:r>
              <w:rPr>
                <w:rFonts w:ascii="Arial" w:eastAsia="Arial" w:hAnsi="Arial" w:cs="Arial"/>
                <w:color w:val="002169"/>
              </w:rPr>
              <w:t>Structure</w:t>
            </w:r>
          </w:p>
        </w:tc>
        <w:tc>
          <w:tcPr>
            <w:tcW w:w="2641" w:type="dxa"/>
            <w:tcMar>
              <w:top w:w="72" w:type="dxa"/>
              <w:left w:w="144" w:type="dxa"/>
              <w:bottom w:w="72" w:type="dxa"/>
              <w:right w:w="144" w:type="dxa"/>
            </w:tcMar>
            <w:vAlign w:val="center"/>
          </w:tcPr>
          <w:p w14:paraId="1FF14C14" w14:textId="77777777" w:rsidR="00285C41" w:rsidRDefault="005C3D5F">
            <w:pPr>
              <w:rPr>
                <w:rFonts w:ascii="Arial" w:eastAsia="Arial" w:hAnsi="Arial" w:cs="Arial"/>
                <w:color w:val="002169"/>
              </w:rPr>
            </w:pPr>
            <w:r>
              <w:rPr>
                <w:rFonts w:ascii="Arial" w:eastAsia="Arial" w:hAnsi="Arial" w:cs="Arial"/>
                <w:color w:val="002169"/>
              </w:rPr>
              <w:t>A judge infers structural rules (power relationships between institutions, for instance) from the relationships specifically outlined in the Constitution.</w:t>
            </w:r>
          </w:p>
        </w:tc>
        <w:tc>
          <w:tcPr>
            <w:tcW w:w="2467" w:type="dxa"/>
            <w:tcMar>
              <w:top w:w="72" w:type="dxa"/>
              <w:left w:w="144" w:type="dxa"/>
              <w:bottom w:w="72" w:type="dxa"/>
              <w:right w:w="144" w:type="dxa"/>
            </w:tcMar>
            <w:vAlign w:val="center"/>
          </w:tcPr>
          <w:p w14:paraId="070061ED" w14:textId="77777777" w:rsidR="00285C41" w:rsidRDefault="00285C41">
            <w:pPr>
              <w:rPr>
                <w:rFonts w:ascii="Arial" w:eastAsia="Arial" w:hAnsi="Arial" w:cs="Arial"/>
                <w:color w:val="002169"/>
              </w:rPr>
            </w:pPr>
          </w:p>
        </w:tc>
        <w:tc>
          <w:tcPr>
            <w:tcW w:w="2467" w:type="dxa"/>
            <w:tcMar>
              <w:top w:w="72" w:type="dxa"/>
              <w:left w:w="144" w:type="dxa"/>
              <w:bottom w:w="72" w:type="dxa"/>
              <w:right w:w="144" w:type="dxa"/>
            </w:tcMar>
            <w:vAlign w:val="center"/>
          </w:tcPr>
          <w:p w14:paraId="34B97F97" w14:textId="77777777" w:rsidR="00285C41" w:rsidRDefault="00285C41">
            <w:pPr>
              <w:rPr>
                <w:rFonts w:ascii="Arial" w:eastAsia="Arial" w:hAnsi="Arial" w:cs="Arial"/>
                <w:color w:val="002169"/>
              </w:rPr>
            </w:pPr>
          </w:p>
        </w:tc>
      </w:tr>
      <w:tr w:rsidR="00285C41" w14:paraId="61F0314E" w14:textId="77777777" w:rsidTr="00940784">
        <w:trPr>
          <w:trHeight w:val="2088"/>
        </w:trPr>
        <w:tc>
          <w:tcPr>
            <w:tcW w:w="1905" w:type="dxa"/>
            <w:shd w:val="clear" w:color="auto" w:fill="F3F3F3"/>
            <w:tcMar>
              <w:top w:w="72" w:type="dxa"/>
              <w:left w:w="144" w:type="dxa"/>
              <w:bottom w:w="72" w:type="dxa"/>
              <w:right w:w="144" w:type="dxa"/>
            </w:tcMar>
            <w:vAlign w:val="center"/>
          </w:tcPr>
          <w:p w14:paraId="519D6938" w14:textId="77777777" w:rsidR="00285C41" w:rsidRDefault="005C3D5F">
            <w:pPr>
              <w:jc w:val="center"/>
              <w:rPr>
                <w:rFonts w:ascii="Arial" w:eastAsia="Arial" w:hAnsi="Arial" w:cs="Arial"/>
                <w:color w:val="002169"/>
              </w:rPr>
            </w:pPr>
            <w:r>
              <w:rPr>
                <w:rFonts w:ascii="Arial" w:eastAsia="Arial" w:hAnsi="Arial" w:cs="Arial"/>
                <w:color w:val="002169"/>
              </w:rPr>
              <w:t xml:space="preserve">Prudence/ Consequences </w:t>
            </w:r>
          </w:p>
        </w:tc>
        <w:tc>
          <w:tcPr>
            <w:tcW w:w="2641" w:type="dxa"/>
            <w:tcMar>
              <w:top w:w="72" w:type="dxa"/>
              <w:left w:w="144" w:type="dxa"/>
              <w:bottom w:w="72" w:type="dxa"/>
              <w:right w:w="144" w:type="dxa"/>
            </w:tcMar>
            <w:vAlign w:val="center"/>
          </w:tcPr>
          <w:p w14:paraId="1EDA6848" w14:textId="77777777" w:rsidR="00285C41" w:rsidRDefault="005C3D5F">
            <w:pPr>
              <w:rPr>
                <w:rFonts w:ascii="Arial" w:eastAsia="Arial" w:hAnsi="Arial" w:cs="Arial"/>
                <w:color w:val="002169"/>
              </w:rPr>
            </w:pPr>
            <w:r>
              <w:rPr>
                <w:rFonts w:ascii="Arial" w:eastAsia="Arial" w:hAnsi="Arial" w:cs="Arial"/>
                <w:color w:val="002169"/>
              </w:rPr>
              <w:t>A judge seeks to balance the costs and benefits of a particular ruling, in</w:t>
            </w:r>
            <w:r>
              <w:rPr>
                <w:rFonts w:ascii="Arial" w:eastAsia="Arial" w:hAnsi="Arial" w:cs="Arial"/>
                <w:color w:val="002169"/>
              </w:rPr>
              <w:t>cluding its consequences and any concerns about the limits of judicial power and competence.</w:t>
            </w:r>
          </w:p>
        </w:tc>
        <w:tc>
          <w:tcPr>
            <w:tcW w:w="2467" w:type="dxa"/>
            <w:tcMar>
              <w:top w:w="72" w:type="dxa"/>
              <w:left w:w="144" w:type="dxa"/>
              <w:bottom w:w="72" w:type="dxa"/>
              <w:right w:w="144" w:type="dxa"/>
            </w:tcMar>
            <w:vAlign w:val="center"/>
          </w:tcPr>
          <w:p w14:paraId="3BDF4AF4" w14:textId="77777777" w:rsidR="00285C41" w:rsidRDefault="00285C41">
            <w:pPr>
              <w:rPr>
                <w:rFonts w:ascii="Arial" w:eastAsia="Arial" w:hAnsi="Arial" w:cs="Arial"/>
                <w:color w:val="002169"/>
              </w:rPr>
            </w:pPr>
          </w:p>
        </w:tc>
        <w:tc>
          <w:tcPr>
            <w:tcW w:w="2467" w:type="dxa"/>
            <w:tcMar>
              <w:top w:w="72" w:type="dxa"/>
              <w:left w:w="144" w:type="dxa"/>
              <w:bottom w:w="72" w:type="dxa"/>
              <w:right w:w="144" w:type="dxa"/>
            </w:tcMar>
            <w:vAlign w:val="center"/>
          </w:tcPr>
          <w:p w14:paraId="004B4058" w14:textId="77777777" w:rsidR="00285C41" w:rsidRDefault="00285C41">
            <w:pPr>
              <w:rPr>
                <w:rFonts w:ascii="Arial" w:eastAsia="Arial" w:hAnsi="Arial" w:cs="Arial"/>
                <w:color w:val="002169"/>
              </w:rPr>
            </w:pPr>
          </w:p>
        </w:tc>
      </w:tr>
      <w:tr w:rsidR="00285C41" w14:paraId="3752FE2B" w14:textId="77777777" w:rsidTr="00940784">
        <w:trPr>
          <w:trHeight w:val="2088"/>
        </w:trPr>
        <w:tc>
          <w:tcPr>
            <w:tcW w:w="1905" w:type="dxa"/>
            <w:shd w:val="clear" w:color="auto" w:fill="F3F3F3"/>
            <w:tcMar>
              <w:top w:w="72" w:type="dxa"/>
              <w:left w:w="144" w:type="dxa"/>
              <w:bottom w:w="72" w:type="dxa"/>
              <w:right w:w="144" w:type="dxa"/>
            </w:tcMar>
            <w:vAlign w:val="center"/>
          </w:tcPr>
          <w:p w14:paraId="56A06629" w14:textId="77777777" w:rsidR="00285C41" w:rsidRDefault="005C3D5F">
            <w:pPr>
              <w:jc w:val="center"/>
              <w:rPr>
                <w:rFonts w:ascii="Arial" w:eastAsia="Arial" w:hAnsi="Arial" w:cs="Arial"/>
                <w:color w:val="002169"/>
              </w:rPr>
            </w:pPr>
            <w:r>
              <w:rPr>
                <w:rFonts w:ascii="Arial" w:eastAsia="Arial" w:hAnsi="Arial" w:cs="Arial"/>
                <w:color w:val="002169"/>
              </w:rPr>
              <w:t>Natural Law/</w:t>
            </w:r>
            <w:r>
              <w:rPr>
                <w:rFonts w:ascii="Arial" w:eastAsia="Arial" w:hAnsi="Arial" w:cs="Arial"/>
                <w:color w:val="002169"/>
              </w:rPr>
              <w:br/>
              <w:t>Morality</w:t>
            </w:r>
          </w:p>
        </w:tc>
        <w:tc>
          <w:tcPr>
            <w:tcW w:w="2641" w:type="dxa"/>
            <w:tcMar>
              <w:top w:w="72" w:type="dxa"/>
              <w:left w:w="144" w:type="dxa"/>
              <w:bottom w:w="72" w:type="dxa"/>
              <w:right w:w="144" w:type="dxa"/>
            </w:tcMar>
            <w:vAlign w:val="center"/>
          </w:tcPr>
          <w:p w14:paraId="627C1F8A" w14:textId="77777777" w:rsidR="00285C41" w:rsidRDefault="005C3D5F">
            <w:pPr>
              <w:rPr>
                <w:rFonts w:ascii="Arial" w:eastAsia="Arial" w:hAnsi="Arial" w:cs="Arial"/>
                <w:color w:val="002169"/>
              </w:rPr>
            </w:pPr>
            <w:r>
              <w:rPr>
                <w:rFonts w:ascii="Arial" w:eastAsia="Arial" w:hAnsi="Arial" w:cs="Arial"/>
                <w:color w:val="002169"/>
              </w:rPr>
              <w:t>A judge draws on principles of moral reasoning—whether embodied in the natural law tradition or drawn from a judge’s own independent, present-day moral judgments.</w:t>
            </w:r>
          </w:p>
        </w:tc>
        <w:tc>
          <w:tcPr>
            <w:tcW w:w="2467" w:type="dxa"/>
            <w:tcMar>
              <w:top w:w="72" w:type="dxa"/>
              <w:left w:w="144" w:type="dxa"/>
              <w:bottom w:w="72" w:type="dxa"/>
              <w:right w:w="144" w:type="dxa"/>
            </w:tcMar>
            <w:vAlign w:val="center"/>
          </w:tcPr>
          <w:p w14:paraId="4ED2D982" w14:textId="77777777" w:rsidR="00285C41" w:rsidRDefault="00285C41">
            <w:pPr>
              <w:rPr>
                <w:rFonts w:ascii="Arial" w:eastAsia="Arial" w:hAnsi="Arial" w:cs="Arial"/>
                <w:color w:val="002169"/>
              </w:rPr>
            </w:pPr>
          </w:p>
        </w:tc>
        <w:tc>
          <w:tcPr>
            <w:tcW w:w="2467" w:type="dxa"/>
            <w:tcMar>
              <w:top w:w="72" w:type="dxa"/>
              <w:left w:w="144" w:type="dxa"/>
              <w:bottom w:w="72" w:type="dxa"/>
              <w:right w:w="144" w:type="dxa"/>
            </w:tcMar>
            <w:vAlign w:val="center"/>
          </w:tcPr>
          <w:p w14:paraId="09EF2B0B" w14:textId="77777777" w:rsidR="00285C41" w:rsidRDefault="00285C41">
            <w:pPr>
              <w:rPr>
                <w:rFonts w:ascii="Arial" w:eastAsia="Arial" w:hAnsi="Arial" w:cs="Arial"/>
                <w:color w:val="002169"/>
              </w:rPr>
            </w:pPr>
          </w:p>
        </w:tc>
      </w:tr>
    </w:tbl>
    <w:p w14:paraId="05ED81CE" w14:textId="77777777" w:rsidR="00285C41" w:rsidRDefault="00285C41">
      <w:pPr>
        <w:spacing w:after="0" w:line="240" w:lineRule="auto"/>
        <w:rPr>
          <w:rFonts w:ascii="Arial" w:eastAsia="Arial" w:hAnsi="Arial" w:cs="Arial"/>
          <w:color w:val="002169"/>
        </w:rPr>
      </w:pPr>
    </w:p>
    <w:p w14:paraId="03996892" w14:textId="77777777" w:rsidR="00285C41" w:rsidRDefault="00285C41">
      <w:pPr>
        <w:spacing w:after="0" w:line="240" w:lineRule="auto"/>
        <w:rPr>
          <w:rFonts w:ascii="Arial" w:eastAsia="Arial" w:hAnsi="Arial" w:cs="Arial"/>
          <w:color w:val="002169"/>
        </w:rPr>
      </w:pPr>
    </w:p>
    <w:sectPr w:rsidR="00285C41">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70822" w14:textId="77777777" w:rsidR="005C3D5F" w:rsidRDefault="005C3D5F">
      <w:pPr>
        <w:spacing w:after="0" w:line="240" w:lineRule="auto"/>
      </w:pPr>
      <w:r>
        <w:separator/>
      </w:r>
    </w:p>
  </w:endnote>
  <w:endnote w:type="continuationSeparator" w:id="0">
    <w:p w14:paraId="0D37FA1C" w14:textId="77777777" w:rsidR="005C3D5F" w:rsidRDefault="005C3D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526FD" w14:textId="77777777" w:rsidR="00285C41" w:rsidRDefault="005C3D5F">
    <w:pPr>
      <w:tabs>
        <w:tab w:val="left" w:pos="3305"/>
      </w:tabs>
      <w:spacing w:before="120" w:line="240" w:lineRule="auto"/>
      <w:jc w:val="center"/>
      <w:rPr>
        <w:rFonts w:ascii="Arial" w:eastAsia="Arial" w:hAnsi="Arial" w:cs="Arial"/>
        <w:b/>
        <w:color w:val="002169"/>
        <w:sz w:val="20"/>
        <w:szCs w:val="20"/>
      </w:rPr>
    </w:pPr>
    <w:r>
      <w:rPr>
        <w:rFonts w:ascii="Arial" w:eastAsia="Arial" w:hAnsi="Arial" w:cs="Arial"/>
        <w:b/>
        <w:noProof/>
        <w:color w:val="002169"/>
        <w:sz w:val="20"/>
        <w:szCs w:val="20"/>
      </w:rPr>
      <w:drawing>
        <wp:inline distT="114300" distB="114300" distL="114300" distR="114300" wp14:anchorId="0C639929" wp14:editId="63F7637A">
          <wp:extent cx="2313637" cy="581099"/>
          <wp:effectExtent l="0" t="0" r="0" b="0"/>
          <wp:docPr id="1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2313637" cy="58109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EEFBFF" w14:textId="77777777" w:rsidR="005C3D5F" w:rsidRDefault="005C3D5F">
      <w:pPr>
        <w:spacing w:after="0" w:line="240" w:lineRule="auto"/>
      </w:pPr>
      <w:r>
        <w:separator/>
      </w:r>
    </w:p>
  </w:footnote>
  <w:footnote w:type="continuationSeparator" w:id="0">
    <w:p w14:paraId="0A2C51F2" w14:textId="77777777" w:rsidR="005C3D5F" w:rsidRDefault="005C3D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10BB2" w14:textId="77777777" w:rsidR="00285C41" w:rsidRDefault="005C3D5F">
    <w:pPr>
      <w:spacing w:after="0" w:line="312" w:lineRule="auto"/>
      <w:rPr>
        <w:rFonts w:ascii="Arial" w:eastAsia="Arial" w:hAnsi="Arial" w:cs="Arial"/>
        <w:b/>
        <w:color w:val="002169"/>
        <w:vertAlign w:val="subscript"/>
      </w:rPr>
    </w:pPr>
    <w:r>
      <w:rPr>
        <w:rFonts w:ascii="Arial" w:eastAsia="Arial" w:hAnsi="Arial" w:cs="Arial"/>
        <w:b/>
        <w:color w:val="002169"/>
      </w:rPr>
      <w:t>CONSTITUTION 101</w:t>
    </w:r>
    <w:r>
      <w:rPr>
        <w:noProof/>
      </w:rPr>
      <mc:AlternateContent>
        <mc:Choice Requires="wpg">
          <w:drawing>
            <wp:anchor distT="0" distB="0" distL="114300" distR="114300" simplePos="0" relativeHeight="251658240" behindDoc="0" locked="0" layoutInCell="1" hidden="0" allowOverlap="1" wp14:anchorId="78CD5630" wp14:editId="78706F1D">
              <wp:simplePos x="0" y="0"/>
              <wp:positionH relativeFrom="column">
                <wp:posOffset>1</wp:posOffset>
              </wp:positionH>
              <wp:positionV relativeFrom="paragraph">
                <wp:posOffset>139700</wp:posOffset>
              </wp:positionV>
              <wp:extent cx="3152648" cy="44239"/>
              <wp:effectExtent l="0" t="0" r="0" b="0"/>
              <wp:wrapNone/>
              <wp:docPr id="15" name="Straight Arrow Connector 15"/>
              <wp:cNvGraphicFramePr/>
              <a:graphic xmlns:a="http://schemas.openxmlformats.org/drawingml/2006/main">
                <a:graphicData uri="http://schemas.microsoft.com/office/word/2010/wordprocessingShape">
                  <wps:wsp>
                    <wps:cNvCnPr/>
                    <wps:spPr>
                      <a:xfrm>
                        <a:off x="3291450" y="3780000"/>
                        <a:ext cx="4109100" cy="0"/>
                      </a:xfrm>
                      <a:prstGeom prst="straightConnector1">
                        <a:avLst/>
                      </a:prstGeom>
                      <a:noFill/>
                      <a:ln w="25400" cap="flat" cmpd="sng">
                        <a:solidFill>
                          <a:srgbClr val="CA003D"/>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139700</wp:posOffset>
              </wp:positionV>
              <wp:extent cx="3152648" cy="44239"/>
              <wp:effectExtent b="0" l="0" r="0" t="0"/>
              <wp:wrapNone/>
              <wp:docPr id="15"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3152648" cy="44239"/>
                      </a:xfrm>
                      <a:prstGeom prst="rect"/>
                      <a:ln/>
                    </pic:spPr>
                  </pic:pic>
                </a:graphicData>
              </a:graphic>
            </wp:anchor>
          </w:drawing>
        </mc:Fallback>
      </mc:AlternateContent>
    </w:r>
  </w:p>
  <w:p w14:paraId="573A6C07" w14:textId="77777777" w:rsidR="00285C41" w:rsidRDefault="005C3D5F">
    <w:pPr>
      <w:spacing w:after="0" w:line="240" w:lineRule="auto"/>
      <w:rPr>
        <w:rFonts w:ascii="Arial" w:eastAsia="Arial" w:hAnsi="Arial" w:cs="Arial"/>
        <w:color w:val="002169"/>
      </w:rPr>
    </w:pPr>
    <w:r>
      <w:rPr>
        <w:rFonts w:ascii="Arial" w:eastAsia="Arial" w:hAnsi="Arial" w:cs="Arial"/>
        <w:color w:val="002169"/>
      </w:rPr>
      <w:t>Module 1: Constitutional Conversations and Civil Dialogue</w:t>
    </w:r>
  </w:p>
  <w:p w14:paraId="774F2381" w14:textId="77777777" w:rsidR="00285C41" w:rsidRDefault="005C3D5F">
    <w:pPr>
      <w:spacing w:after="0" w:line="240" w:lineRule="auto"/>
      <w:rPr>
        <w:rFonts w:ascii="Arial" w:eastAsia="Arial" w:hAnsi="Arial" w:cs="Arial"/>
        <w:color w:val="002169"/>
      </w:rPr>
    </w:pPr>
    <w:r>
      <w:rPr>
        <w:rFonts w:ascii="Arial" w:eastAsia="Arial" w:hAnsi="Arial" w:cs="Arial"/>
        <w:color w:val="002169"/>
      </w:rPr>
      <w:t>1.4 Activity Guide</w:t>
    </w:r>
  </w:p>
  <w:p w14:paraId="32121056" w14:textId="77777777" w:rsidR="00285C41" w:rsidRDefault="00285C41">
    <w:pPr>
      <w:spacing w:after="0" w:line="240" w:lineRule="auto"/>
      <w:rPr>
        <w:rFonts w:ascii="Arial" w:eastAsia="Arial" w:hAnsi="Arial" w:cs="Arial"/>
        <w:color w:val="002169"/>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5C41"/>
    <w:rsid w:val="00285C41"/>
    <w:rsid w:val="003F33BA"/>
    <w:rsid w:val="005C3D5F"/>
    <w:rsid w:val="00940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AF5E6"/>
  <w15:docId w15:val="{27BC0A84-2EE7-45DE-942B-A42D72C51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0C31"/>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B472CB"/>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B472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72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72CB"/>
  </w:style>
  <w:style w:type="paragraph" w:styleId="Footer">
    <w:name w:val="footer"/>
    <w:basedOn w:val="Normal"/>
    <w:link w:val="FooterChar"/>
    <w:uiPriority w:val="99"/>
    <w:unhideWhenUsed/>
    <w:rsid w:val="00B472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72CB"/>
  </w:style>
  <w:style w:type="character" w:styleId="CommentReference">
    <w:name w:val="annotation reference"/>
    <w:basedOn w:val="DefaultParagraphFont"/>
    <w:uiPriority w:val="99"/>
    <w:semiHidden/>
    <w:unhideWhenUsed/>
    <w:rsid w:val="00B472CB"/>
    <w:rPr>
      <w:sz w:val="16"/>
      <w:szCs w:val="16"/>
    </w:rPr>
  </w:style>
  <w:style w:type="paragraph" w:styleId="CommentText">
    <w:name w:val="annotation text"/>
    <w:basedOn w:val="Normal"/>
    <w:link w:val="CommentTextChar"/>
    <w:uiPriority w:val="99"/>
    <w:semiHidden/>
    <w:unhideWhenUsed/>
    <w:rsid w:val="00B472CB"/>
    <w:pPr>
      <w:spacing w:line="240" w:lineRule="auto"/>
    </w:pPr>
    <w:rPr>
      <w:sz w:val="20"/>
      <w:szCs w:val="20"/>
    </w:rPr>
  </w:style>
  <w:style w:type="character" w:customStyle="1" w:styleId="CommentTextChar">
    <w:name w:val="Comment Text Char"/>
    <w:basedOn w:val="DefaultParagraphFont"/>
    <w:link w:val="CommentText"/>
    <w:uiPriority w:val="99"/>
    <w:semiHidden/>
    <w:rsid w:val="00B472CB"/>
    <w:rPr>
      <w:sz w:val="20"/>
      <w:szCs w:val="20"/>
    </w:rPr>
  </w:style>
  <w:style w:type="paragraph" w:styleId="CommentSubject">
    <w:name w:val="annotation subject"/>
    <w:basedOn w:val="CommentText"/>
    <w:next w:val="CommentText"/>
    <w:link w:val="CommentSubjectChar"/>
    <w:uiPriority w:val="99"/>
    <w:semiHidden/>
    <w:unhideWhenUsed/>
    <w:rsid w:val="00B472CB"/>
    <w:rPr>
      <w:b/>
      <w:bCs/>
    </w:rPr>
  </w:style>
  <w:style w:type="character" w:customStyle="1" w:styleId="CommentSubjectChar">
    <w:name w:val="Comment Subject Char"/>
    <w:basedOn w:val="CommentTextChar"/>
    <w:link w:val="CommentSubject"/>
    <w:uiPriority w:val="99"/>
    <w:semiHidden/>
    <w:rsid w:val="00B472CB"/>
    <w:rPr>
      <w:b/>
      <w:bCs/>
      <w:sz w:val="20"/>
      <w:szCs w:val="20"/>
    </w:rPr>
  </w:style>
  <w:style w:type="paragraph" w:styleId="BalloonText">
    <w:name w:val="Balloon Text"/>
    <w:basedOn w:val="Normal"/>
    <w:link w:val="BalloonTextChar"/>
    <w:uiPriority w:val="99"/>
    <w:semiHidden/>
    <w:unhideWhenUsed/>
    <w:rsid w:val="00B472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2CB"/>
    <w:rPr>
      <w:rFonts w:ascii="Segoe UI" w:hAnsi="Segoe UI" w:cs="Segoe UI"/>
      <w:sz w:val="18"/>
      <w:szCs w:val="18"/>
    </w:rPr>
  </w:style>
  <w:style w:type="character" w:styleId="Hyperlink">
    <w:name w:val="Hyperlink"/>
    <w:basedOn w:val="DefaultParagraphFont"/>
    <w:uiPriority w:val="99"/>
    <w:unhideWhenUsed/>
    <w:rsid w:val="003256A3"/>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UnresolvedMention">
    <w:name w:val="Unresolved Mention"/>
    <w:basedOn w:val="DefaultParagraphFont"/>
    <w:uiPriority w:val="99"/>
    <w:semiHidden/>
    <w:unhideWhenUsed/>
    <w:rsid w:val="00F934F7"/>
    <w:rPr>
      <w:color w:val="605E5C"/>
      <w:shd w:val="clear" w:color="auto" w:fill="E1DFDD"/>
    </w:rPr>
  </w:style>
  <w:style w:type="character" w:styleId="FollowedHyperlink">
    <w:name w:val="FollowedHyperlink"/>
    <w:basedOn w:val="DefaultParagraphFont"/>
    <w:uiPriority w:val="99"/>
    <w:semiHidden/>
    <w:unhideWhenUsed/>
    <w:rsid w:val="00F934F7"/>
    <w:rPr>
      <w:color w:val="954F72" w:themeColor="followedHyperlink"/>
      <w:u w:val="single"/>
    </w:r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CellMar>
        <w:top w:w="29" w:type="dxa"/>
        <w:bottom w:w="29" w:type="dxa"/>
      </w:tblCellMar>
    </w:tblPr>
  </w:style>
  <w:style w:type="table" w:customStyle="1" w:styleId="a2">
    <w:basedOn w:val="TableNormal"/>
    <w:pPr>
      <w:spacing w:after="0" w:line="240" w:lineRule="auto"/>
    </w:pPr>
    <w:tblPr>
      <w:tblStyleRowBandSize w:val="1"/>
      <w:tblStyleColBandSize w:val="1"/>
      <w:tblCellMar>
        <w:top w:w="29" w:type="dxa"/>
        <w:bottom w:w="29" w:type="dxa"/>
      </w:tblCellMar>
    </w:tblPr>
  </w:style>
  <w:style w:type="table" w:customStyle="1" w:styleId="a3">
    <w:basedOn w:val="TableNormal"/>
    <w:pPr>
      <w:spacing w:after="0" w:line="240" w:lineRule="auto"/>
    </w:pPr>
    <w:tblPr>
      <w:tblStyleRowBandSize w:val="1"/>
      <w:tblStyleColBandSize w:val="1"/>
      <w:tblCellMar>
        <w:top w:w="29" w:type="dxa"/>
        <w:bottom w:w="29" w:type="dxa"/>
      </w:tblCellMar>
    </w:tblPr>
  </w:style>
  <w:style w:type="table" w:customStyle="1" w:styleId="a4">
    <w:basedOn w:val="TableNormal"/>
    <w:pPr>
      <w:spacing w:after="0" w:line="240" w:lineRule="auto"/>
    </w:pPr>
    <w:tblPr>
      <w:tblStyleRowBandSize w:val="1"/>
      <w:tblStyleColBandSize w:val="1"/>
      <w:tblCellMar>
        <w:top w:w="29" w:type="dxa"/>
        <w:bottom w:w="29" w:type="dxa"/>
      </w:tblCellMar>
    </w:tblPr>
  </w:style>
  <w:style w:type="table" w:customStyle="1" w:styleId="a5">
    <w:basedOn w:val="TableNormal"/>
    <w:pPr>
      <w:spacing w:after="0" w:line="240" w:lineRule="auto"/>
    </w:pPr>
    <w:tblPr>
      <w:tblStyleRowBandSize w:val="1"/>
      <w:tblStyleColBandSize w:val="1"/>
      <w:tblCellMar>
        <w:top w:w="29" w:type="dxa"/>
        <w:bottom w:w="29" w:type="dxa"/>
      </w:tblCellMar>
    </w:tblPr>
  </w:style>
  <w:style w:type="table" w:customStyle="1" w:styleId="a6">
    <w:basedOn w:val="TableNormal"/>
    <w:pPr>
      <w:spacing w:after="0" w:line="240" w:lineRule="auto"/>
    </w:pPr>
    <w:tblPr>
      <w:tblStyleRowBandSize w:val="1"/>
      <w:tblStyleColBandSize w:val="1"/>
      <w:tblCellMar>
        <w:top w:w="29" w:type="dxa"/>
        <w:bottom w:w="29" w:type="dxa"/>
      </w:tblCellMar>
    </w:tblPr>
  </w:style>
  <w:style w:type="table" w:customStyle="1" w:styleId="a7">
    <w:basedOn w:val="TableNormal"/>
    <w:pPr>
      <w:spacing w:after="0" w:line="240" w:lineRule="auto"/>
    </w:pPr>
    <w:tblPr>
      <w:tblStyleRowBandSize w:val="1"/>
      <w:tblStyleColBandSize w:val="1"/>
      <w:tblCellMar>
        <w:top w:w="29" w:type="dxa"/>
        <w:bottom w:w="29" w:type="dxa"/>
      </w:tblCellMar>
    </w:tblPr>
  </w:style>
  <w:style w:type="table" w:customStyle="1" w:styleId="a8">
    <w:basedOn w:val="TableNormal"/>
    <w:pPr>
      <w:spacing w:after="0" w:line="240" w:lineRule="auto"/>
    </w:pPr>
    <w:tblPr>
      <w:tblStyleRowBandSize w:val="1"/>
      <w:tblStyleColBandSize w:val="1"/>
      <w:tblCellMar>
        <w:top w:w="29" w:type="dxa"/>
        <w:bottom w:w="2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izyy13brxCL9h0RItDsIrcJedA==">AMUW2mUsXZ0fG6FtnTJYI78Gdxj8Dr7pwUV3ZtBj5KfEyltmy8flqntGchxKI8H962IZVo+v5fgBv/la/7kWTN7UEgRRVPZPckWxxAnhLX1PTyncTx58PxHHuypI/QWat4jfqarEJeCWp7dsCYoagcJKfe2iYCtcvQ==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National Constitution Center</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Winterle Kehres</dc:creator>
  <cp:lastModifiedBy>Jenna Winterle Kehres</cp:lastModifiedBy>
  <cp:revision>3</cp:revision>
  <cp:lastPrinted>2022-09-21T15:33:00Z</cp:lastPrinted>
  <dcterms:created xsi:type="dcterms:W3CDTF">2022-09-21T15:33:00Z</dcterms:created>
  <dcterms:modified xsi:type="dcterms:W3CDTF">2022-09-21T15:34:00Z</dcterms:modified>
</cp:coreProperties>
</file>