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A992" w14:textId="77777777" w:rsidR="007124D9" w:rsidRDefault="007124D9">
      <w:pPr>
        <w:widowControl w:val="0"/>
      </w:pPr>
    </w:p>
    <w:tbl>
      <w:tblPr>
        <w:tblStyle w:val="a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7124D9" w14:paraId="699FE960" w14:textId="77777777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14:paraId="18900F19" w14:textId="77777777" w:rsidR="007124D9" w:rsidRDefault="0067079C">
            <w:pPr>
              <w:spacing w:line="276" w:lineRule="auto"/>
              <w:jc w:val="center"/>
              <w:rPr>
                <w:b/>
                <w:color w:val="002169"/>
                <w:sz w:val="32"/>
                <w:szCs w:val="32"/>
              </w:rPr>
            </w:pPr>
            <w:r>
              <w:rPr>
                <w:b/>
                <w:color w:val="002169"/>
                <w:sz w:val="32"/>
                <w:szCs w:val="32"/>
              </w:rPr>
              <w:t xml:space="preserve">INTRODUCTION TO THE 14TH AMENDMENT </w:t>
            </w:r>
          </w:p>
        </w:tc>
      </w:tr>
    </w:tbl>
    <w:p w14:paraId="36C90A07" w14:textId="77777777" w:rsidR="007124D9" w:rsidRDefault="007124D9">
      <w:pPr>
        <w:spacing w:before="120"/>
        <w:jc w:val="center"/>
        <w:rPr>
          <w:sz w:val="8"/>
          <w:szCs w:val="8"/>
        </w:rPr>
      </w:pPr>
    </w:p>
    <w:p w14:paraId="59927593" w14:textId="77777777" w:rsidR="007124D9" w:rsidRDefault="007124D9"/>
    <w:p w14:paraId="62B569BB" w14:textId="77777777" w:rsidR="007124D9" w:rsidRDefault="0067079C">
      <w:r>
        <w:t>The 14th Amendment’s powerful language transformed the Constitution forever. In this activity,</w:t>
      </w:r>
      <w:r>
        <w:t xml:space="preserve"> you will analyze the text of the 14th Amendment, break down its key parts, and explore the big ideas enshrined in its text. </w:t>
      </w:r>
    </w:p>
    <w:p w14:paraId="64A62943" w14:textId="77777777" w:rsidR="007124D9" w:rsidRDefault="0067079C">
      <w:pPr>
        <w:jc w:val="center"/>
      </w:pPr>
      <w:r>
        <w:t>______________</w:t>
      </w:r>
    </w:p>
    <w:p w14:paraId="5589D29E" w14:textId="77777777" w:rsidR="007124D9" w:rsidRDefault="007124D9"/>
    <w:p w14:paraId="2361EB17" w14:textId="77777777" w:rsidR="007124D9" w:rsidRDefault="0067079C">
      <w:r>
        <w:t>Read and mark up Sections 1 and 5 of the 14th Amendment. Summarize the big ideas for each section in one or two se</w:t>
      </w:r>
      <w:r>
        <w:t>ntences. Consider significant words, key ideas, or words you need to define.</w:t>
      </w:r>
    </w:p>
    <w:p w14:paraId="7E849636" w14:textId="77777777" w:rsidR="007124D9" w:rsidRDefault="007124D9"/>
    <w:p w14:paraId="3F83930C" w14:textId="77777777" w:rsidR="007124D9" w:rsidRDefault="0067079C">
      <w:r>
        <w:t>Discuss as a class.</w:t>
      </w:r>
    </w:p>
    <w:p w14:paraId="35AD0FE6" w14:textId="77777777" w:rsidR="007124D9" w:rsidRDefault="007124D9"/>
    <w:tbl>
      <w:tblPr>
        <w:tblStyle w:val="a0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24D9" w14:paraId="50A29CE5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AA8B" w14:textId="77777777" w:rsidR="007124D9" w:rsidRDefault="0067079C">
            <w:pPr>
              <w:rPr>
                <w:color w:val="002169"/>
              </w:rPr>
            </w:pPr>
            <w:r>
              <w:rPr>
                <w:color w:val="002169"/>
              </w:rPr>
              <w:t>Section 1</w:t>
            </w:r>
          </w:p>
          <w:p w14:paraId="176674FC" w14:textId="77777777" w:rsidR="007124D9" w:rsidRDefault="0067079C">
            <w:r>
              <w:t>All persons born or naturalized in the United States, and subject to the jurisdiction thereof, are citizens of the United States and of the State w</w:t>
            </w:r>
            <w:r>
              <w:t xml:space="preserve">herein they reside. No State shall make or enforce any law which shall abridge the privileges or immunities of citizens of the United States; nor shall any State deprive any person of life, liberty, or property, without due process of law; nor deny to any </w:t>
            </w:r>
            <w:r>
              <w:t>person within its jurisdiction the equal protection of the laws.</w:t>
            </w:r>
          </w:p>
        </w:tc>
      </w:tr>
      <w:tr w:rsidR="007124D9" w14:paraId="3E4E09DA" w14:textId="77777777" w:rsidTr="000817F6">
        <w:trPr>
          <w:trHeight w:val="3092"/>
        </w:trPr>
        <w:tc>
          <w:tcPr>
            <w:tcW w:w="9360" w:type="dxa"/>
            <w:tcBorders>
              <w:bottom w:val="single" w:sz="12" w:space="0" w:color="00BC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E39F" w14:textId="77777777" w:rsidR="007124D9" w:rsidRDefault="0071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2DCC7C9" w14:textId="77777777" w:rsidR="000817F6" w:rsidRDefault="000817F6">
      <w:r>
        <w:br w:type="page"/>
      </w:r>
    </w:p>
    <w:tbl>
      <w:tblPr>
        <w:tblStyle w:val="a0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24D9" w14:paraId="00CDCFC6" w14:textId="77777777">
        <w:tc>
          <w:tcPr>
            <w:tcW w:w="9360" w:type="dxa"/>
            <w:tcBorders>
              <w:top w:val="single" w:sz="12" w:space="0" w:color="00BCCA"/>
              <w:left w:val="single" w:sz="12" w:space="0" w:color="00BCCA"/>
              <w:bottom w:val="single" w:sz="12" w:space="0" w:color="00BCCA"/>
              <w:right w:val="single" w:sz="12" w:space="0" w:color="00BCC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50D1" w14:textId="77777777" w:rsidR="007124D9" w:rsidRDefault="0067079C">
            <w:pPr>
              <w:rPr>
                <w:color w:val="002169"/>
              </w:rPr>
            </w:pPr>
            <w:r>
              <w:rPr>
                <w:color w:val="002169"/>
              </w:rPr>
              <w:lastRenderedPageBreak/>
              <w:t>Section 5</w:t>
            </w:r>
          </w:p>
          <w:p w14:paraId="63CE6A38" w14:textId="77777777" w:rsidR="007124D9" w:rsidRDefault="0067079C">
            <w:r>
              <w:t>The Congress shall have the power to enforce, by appropriate legislation, the provisions of this article.</w:t>
            </w:r>
          </w:p>
        </w:tc>
      </w:tr>
      <w:tr w:rsidR="007124D9" w14:paraId="458A2E09" w14:textId="77777777">
        <w:trPr>
          <w:trHeight w:val="2025"/>
        </w:trPr>
        <w:tc>
          <w:tcPr>
            <w:tcW w:w="9360" w:type="dxa"/>
            <w:tcBorders>
              <w:top w:val="single" w:sz="12" w:space="0" w:color="00BC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81D8" w14:textId="77777777" w:rsidR="007124D9" w:rsidRDefault="0071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114EA4E" w14:textId="77777777" w:rsidR="007124D9" w:rsidRDefault="007124D9"/>
    <w:p w14:paraId="7A6DA6C5" w14:textId="77777777" w:rsidR="007124D9" w:rsidRDefault="007124D9"/>
    <w:p w14:paraId="5BA3DE1C" w14:textId="77777777" w:rsidR="007124D9" w:rsidRDefault="0067079C">
      <w:r>
        <w:t xml:space="preserve">Read the text of your assigned clause and the relevant Common Interpretation essay in the </w:t>
      </w:r>
      <w:r>
        <w:rPr>
          <w:i/>
        </w:rPr>
        <w:t>Interactive Constitution</w:t>
      </w:r>
      <w:r>
        <w:t>.</w:t>
      </w:r>
    </w:p>
    <w:p w14:paraId="388CAC78" w14:textId="77777777" w:rsidR="007124D9" w:rsidRDefault="007124D9"/>
    <w:p w14:paraId="07C13856" w14:textId="77777777" w:rsidR="007124D9" w:rsidRDefault="0067079C">
      <w:r>
        <w:t>Fill out the following chart for your assigned clause. Be prepared to share your clause with the class.</w:t>
      </w:r>
    </w:p>
    <w:p w14:paraId="1A9AEC53" w14:textId="77777777" w:rsidR="007124D9" w:rsidRDefault="007124D9"/>
    <w:tbl>
      <w:tblPr>
        <w:tblStyle w:val="a1"/>
        <w:tblW w:w="9645" w:type="dxa"/>
        <w:tblInd w:w="-3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35"/>
        <w:gridCol w:w="2000"/>
        <w:gridCol w:w="2000"/>
        <w:gridCol w:w="2000"/>
      </w:tblGrid>
      <w:tr w:rsidR="007124D9" w14:paraId="69E9D345" w14:textId="77777777"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8DEA7" w14:textId="77777777" w:rsidR="007124D9" w:rsidRDefault="0067079C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 xml:space="preserve">Text of 14th Amendment </w:t>
            </w:r>
          </w:p>
        </w:tc>
        <w:tc>
          <w:tcPr>
            <w:tcW w:w="16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296D8" w14:textId="77777777" w:rsidR="007124D9" w:rsidRDefault="0067079C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>Name of cl</w:t>
            </w:r>
            <w:r>
              <w:rPr>
                <w:color w:val="002169"/>
              </w:rPr>
              <w:t>ause</w:t>
            </w:r>
          </w:p>
        </w:tc>
        <w:tc>
          <w:tcPr>
            <w:tcW w:w="2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19EB4" w14:textId="77777777" w:rsidR="007124D9" w:rsidRDefault="0067079C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>Big idea of the clause</w:t>
            </w:r>
          </w:p>
        </w:tc>
        <w:tc>
          <w:tcPr>
            <w:tcW w:w="2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24F1C" w14:textId="77777777" w:rsidR="007124D9" w:rsidRDefault="0067079C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>Three words from the text that you highlighted or underlined</w:t>
            </w:r>
          </w:p>
        </w:tc>
        <w:tc>
          <w:tcPr>
            <w:tcW w:w="2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B858" w14:textId="77777777" w:rsidR="007124D9" w:rsidRDefault="0067079C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>Notes</w:t>
            </w:r>
          </w:p>
        </w:tc>
      </w:tr>
      <w:tr w:rsidR="007124D9" w14:paraId="7F859B07" w14:textId="77777777">
        <w:trPr>
          <w:trHeight w:val="383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ECF6" w14:textId="77777777" w:rsidR="007124D9" w:rsidRDefault="0067079C">
            <w:r>
              <w:t>All persons born or naturalized in the United States, and subject to the jurisdiction thereof, are citizens of the United States and of the State wherein they r</w:t>
            </w:r>
            <w:r>
              <w:t xml:space="preserve">eside.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6C9D" w14:textId="77777777" w:rsidR="007124D9" w:rsidRDefault="0067079C">
            <w:pPr>
              <w:jc w:val="center"/>
              <w:rPr>
                <w:b/>
              </w:rPr>
            </w:pPr>
            <w:r>
              <w:rPr>
                <w:b/>
              </w:rPr>
              <w:t xml:space="preserve">Citizenship Clause </w:t>
            </w:r>
          </w:p>
          <w:p w14:paraId="71F0954E" w14:textId="77777777" w:rsidR="007124D9" w:rsidRDefault="007124D9"/>
          <w:p w14:paraId="359CBC1C" w14:textId="77777777" w:rsidR="007124D9" w:rsidRDefault="0067079C">
            <w:pPr>
              <w:jc w:val="center"/>
            </w:pPr>
            <w:hyperlink r:id="rId6">
              <w:r>
                <w:rPr>
                  <w:color w:val="1155CC"/>
                  <w:u w:val="single"/>
                </w:rPr>
                <w:t>Read the Common Interpretation</w:t>
              </w:r>
            </w:hyperlink>
            <w:r>
              <w:t xml:space="preserve">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51DE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875F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332" w14:textId="77777777" w:rsidR="007124D9" w:rsidRDefault="007124D9"/>
        </w:tc>
      </w:tr>
      <w:tr w:rsidR="007124D9" w14:paraId="356EC8EC" w14:textId="77777777">
        <w:trPr>
          <w:trHeight w:val="383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61E4" w14:textId="77777777" w:rsidR="007124D9" w:rsidRDefault="0067079C">
            <w:r>
              <w:lastRenderedPageBreak/>
              <w:t>No State shall make or enforce any law which shall abridge the privileges or immunities of citizens of the United States;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3587" w14:textId="77777777" w:rsidR="007124D9" w:rsidRDefault="0067079C">
            <w:pPr>
              <w:jc w:val="center"/>
              <w:rPr>
                <w:b/>
              </w:rPr>
            </w:pPr>
            <w:r>
              <w:rPr>
                <w:b/>
              </w:rPr>
              <w:t>Privileges or Immunities Clause</w:t>
            </w:r>
          </w:p>
          <w:p w14:paraId="230B63BF" w14:textId="77777777" w:rsidR="007124D9" w:rsidRDefault="007124D9">
            <w:pPr>
              <w:jc w:val="center"/>
            </w:pPr>
          </w:p>
          <w:p w14:paraId="06FE58DA" w14:textId="77777777" w:rsidR="007124D9" w:rsidRDefault="0067079C">
            <w:pPr>
              <w:jc w:val="center"/>
            </w:pPr>
            <w:hyperlink r:id="rId7">
              <w:r>
                <w:rPr>
                  <w:color w:val="1155CC"/>
                  <w:u w:val="single"/>
                </w:rPr>
                <w:t>Read the Common Interpretation</w:t>
              </w:r>
            </w:hyperlink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5B17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6E87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FD78" w14:textId="77777777" w:rsidR="007124D9" w:rsidRDefault="007124D9"/>
        </w:tc>
      </w:tr>
      <w:tr w:rsidR="007124D9" w14:paraId="4D9F0EAA" w14:textId="77777777">
        <w:trPr>
          <w:trHeight w:val="383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E7F6" w14:textId="77777777" w:rsidR="007124D9" w:rsidRDefault="0067079C">
            <w:r>
              <w:t>nor shall any State deprive any person of life, liberty, or property, without due process of law;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CD98" w14:textId="77777777" w:rsidR="007124D9" w:rsidRDefault="0067079C">
            <w:pPr>
              <w:jc w:val="center"/>
              <w:rPr>
                <w:b/>
              </w:rPr>
            </w:pPr>
            <w:r>
              <w:rPr>
                <w:b/>
              </w:rPr>
              <w:t>Due Process Clause</w:t>
            </w:r>
          </w:p>
          <w:p w14:paraId="4B9CF232" w14:textId="77777777" w:rsidR="007124D9" w:rsidRDefault="007124D9">
            <w:pPr>
              <w:jc w:val="center"/>
            </w:pPr>
          </w:p>
          <w:p w14:paraId="5F0447EC" w14:textId="77777777" w:rsidR="007124D9" w:rsidRDefault="0067079C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Read the Common Interpretation</w:t>
              </w:r>
            </w:hyperlink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07D2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CA05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0DA3" w14:textId="77777777" w:rsidR="007124D9" w:rsidRDefault="007124D9">
            <w:bookmarkStart w:id="0" w:name="_GoBack"/>
            <w:bookmarkEnd w:id="0"/>
          </w:p>
        </w:tc>
      </w:tr>
      <w:tr w:rsidR="007124D9" w14:paraId="4976D905" w14:textId="77777777">
        <w:trPr>
          <w:trHeight w:val="383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71B0" w14:textId="77777777" w:rsidR="007124D9" w:rsidRDefault="0067079C">
            <w:r>
              <w:lastRenderedPageBreak/>
              <w:t>nor deny to any person within its jurisdiction the equal protection of the laws.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5649" w14:textId="77777777" w:rsidR="007124D9" w:rsidRDefault="0067079C">
            <w:pPr>
              <w:jc w:val="center"/>
              <w:rPr>
                <w:b/>
              </w:rPr>
            </w:pPr>
            <w:r>
              <w:rPr>
                <w:b/>
              </w:rPr>
              <w:t>Equal Protection Clause</w:t>
            </w:r>
          </w:p>
          <w:p w14:paraId="258B1732" w14:textId="77777777" w:rsidR="007124D9" w:rsidRDefault="007124D9">
            <w:pPr>
              <w:jc w:val="center"/>
            </w:pPr>
          </w:p>
          <w:p w14:paraId="6405A98F" w14:textId="77777777" w:rsidR="007124D9" w:rsidRDefault="0067079C">
            <w:pPr>
              <w:jc w:val="center"/>
            </w:pPr>
            <w:hyperlink r:id="rId9">
              <w:r>
                <w:rPr>
                  <w:color w:val="1155CC"/>
                  <w:u w:val="single"/>
                </w:rPr>
                <w:t>Read the Common Interpretation</w:t>
              </w:r>
            </w:hyperlink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CF54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B76F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0912" w14:textId="77777777" w:rsidR="007124D9" w:rsidRDefault="007124D9"/>
        </w:tc>
      </w:tr>
      <w:tr w:rsidR="007124D9" w14:paraId="6B48E8ED" w14:textId="77777777">
        <w:trPr>
          <w:trHeight w:val="383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7AB7" w14:textId="77777777" w:rsidR="007124D9" w:rsidRDefault="0067079C">
            <w:r>
              <w:t>The Congress shall have the power to enforce, by appropriate legislation, the provisions of this article.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BFE2" w14:textId="77777777" w:rsidR="007124D9" w:rsidRDefault="0067079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 xml:space="preserve">nforcement Clause </w:t>
            </w:r>
          </w:p>
          <w:p w14:paraId="086E0F41" w14:textId="77777777" w:rsidR="007124D9" w:rsidRDefault="007124D9">
            <w:pPr>
              <w:jc w:val="center"/>
            </w:pPr>
          </w:p>
          <w:p w14:paraId="014BF567" w14:textId="77777777" w:rsidR="007124D9" w:rsidRDefault="0067079C">
            <w:pPr>
              <w:jc w:val="center"/>
            </w:pPr>
            <w:hyperlink r:id="rId10">
              <w:r>
                <w:rPr>
                  <w:color w:val="1155CC"/>
                  <w:u w:val="single"/>
                </w:rPr>
                <w:t>Read the Common Interpretation</w:t>
              </w:r>
            </w:hyperlink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1A27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2AAE" w14:textId="77777777" w:rsidR="007124D9" w:rsidRDefault="007124D9"/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125A" w14:textId="77777777" w:rsidR="007124D9" w:rsidRDefault="007124D9"/>
        </w:tc>
      </w:tr>
    </w:tbl>
    <w:p w14:paraId="671CAAF4" w14:textId="77777777" w:rsidR="007124D9" w:rsidRDefault="007124D9">
      <w:pPr>
        <w:rPr>
          <w:rFonts w:ascii="Calibri" w:eastAsia="Calibri" w:hAnsi="Calibri" w:cs="Calibri"/>
        </w:rPr>
      </w:pPr>
    </w:p>
    <w:sectPr w:rsidR="007124D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17B9" w14:textId="77777777" w:rsidR="0067079C" w:rsidRDefault="0067079C">
      <w:pPr>
        <w:spacing w:line="240" w:lineRule="auto"/>
      </w:pPr>
      <w:r>
        <w:separator/>
      </w:r>
    </w:p>
  </w:endnote>
  <w:endnote w:type="continuationSeparator" w:id="0">
    <w:p w14:paraId="344EF7FC" w14:textId="77777777" w:rsidR="0067079C" w:rsidRDefault="0067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311A" w14:textId="77777777" w:rsidR="007124D9" w:rsidRDefault="0067079C">
    <w:pPr>
      <w:tabs>
        <w:tab w:val="left" w:pos="3305"/>
      </w:tabs>
      <w:spacing w:before="120" w:after="160" w:line="240" w:lineRule="auto"/>
      <w:jc w:val="center"/>
    </w:pPr>
    <w:r>
      <w:rPr>
        <w:b/>
        <w:noProof/>
        <w:color w:val="002169"/>
        <w:sz w:val="20"/>
        <w:szCs w:val="20"/>
      </w:rPr>
      <w:drawing>
        <wp:inline distT="114300" distB="114300" distL="114300" distR="114300" wp14:anchorId="7B561B62" wp14:editId="31658313">
          <wp:extent cx="2313637" cy="58109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45E7" w14:textId="77777777" w:rsidR="0067079C" w:rsidRDefault="0067079C">
      <w:pPr>
        <w:spacing w:line="240" w:lineRule="auto"/>
      </w:pPr>
      <w:r>
        <w:separator/>
      </w:r>
    </w:p>
  </w:footnote>
  <w:footnote w:type="continuationSeparator" w:id="0">
    <w:p w14:paraId="1A1CB4C2" w14:textId="77777777" w:rsidR="0067079C" w:rsidRDefault="0067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6784" w14:textId="77777777" w:rsidR="007124D9" w:rsidRDefault="0067079C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5C45D5" wp14:editId="30EFD1F3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4C18B4" w14:textId="77777777" w:rsidR="007124D9" w:rsidRDefault="0067079C">
    <w:pPr>
      <w:spacing w:line="240" w:lineRule="auto"/>
      <w:rPr>
        <w:color w:val="002169"/>
      </w:rPr>
    </w:pPr>
    <w:r>
      <w:rPr>
        <w:color w:val="002169"/>
      </w:rPr>
      <w:t>Module 14: Battles for Freedom and Equality: Modern Battles</w:t>
    </w:r>
  </w:p>
  <w:p w14:paraId="055CA4DC" w14:textId="77777777" w:rsidR="007124D9" w:rsidRDefault="0067079C">
    <w:pPr>
      <w:spacing w:line="240" w:lineRule="auto"/>
      <w:rPr>
        <w:color w:val="002169"/>
      </w:rPr>
    </w:pPr>
    <w:r>
      <w:rPr>
        <w:color w:val="002169"/>
      </w:rPr>
      <w:t>14.2 Activity Guide</w:t>
    </w:r>
  </w:p>
  <w:p w14:paraId="4E2D3BE0" w14:textId="77777777" w:rsidR="007124D9" w:rsidRDefault="007124D9">
    <w:pPr>
      <w:spacing w:line="240" w:lineRule="auto"/>
      <w:rPr>
        <w:color w:val="0021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D9"/>
    <w:rsid w:val="000154C5"/>
    <w:rsid w:val="000817F6"/>
    <w:rsid w:val="0067079C"/>
    <w:rsid w:val="007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C662"/>
  <w15:docId w15:val="{CE657C71-97B9-4240-B516-119CEB8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center.org/interactive-constitution/interpretation/amendment-xiv/clauses/7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titutioncenter.org/interactive-constitution/interpretation/amendment-xiv/clauses/70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titutioncenter.org/interactive-constitution/interpretation/amendment-xiv/clauses/70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onstitutioncenter.org/interactive-constitution/interpretation/amendment-xiv/clauses/7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stitutioncenter.org/interactive-constitution/interpretation/amendment-xiv/clauses/70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3</cp:revision>
  <cp:lastPrinted>2023-04-03T14:35:00Z</cp:lastPrinted>
  <dcterms:created xsi:type="dcterms:W3CDTF">2023-04-03T14:34:00Z</dcterms:created>
  <dcterms:modified xsi:type="dcterms:W3CDTF">2023-04-03T14:38:00Z</dcterms:modified>
</cp:coreProperties>
</file>