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7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0"/>
        <w:tblGridChange w:id="0">
          <w:tblGrid>
            <w:gridCol w:w="876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DECLARATION OF INDEPENDENCE</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In this activity, you will identify the intellectual sources of the Declaration of Independence—the very thinkers that Jefferson mentioned in his letter. You will also explore the root of the principles—such as natural rights, the social contract, popular sovereignty, and the rule of law—that influenced the American Revolution and led to the Declaration of Independence, the U.S. Constitution, and the Bill of Rights.</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color w:val="000000"/>
          <w:highlight w:val="white"/>
          <w:rtl w:val="0"/>
        </w:rPr>
        <w:t xml:space="preserve">After you watch the video, answer the following questions</w:t>
      </w:r>
      <w:r w:rsidDel="00000000" w:rsidR="00000000" w:rsidRPr="00000000">
        <w:rPr>
          <w:rFonts w:ascii="Arial" w:cs="Arial" w:eastAsia="Arial" w:hAnsi="Arial"/>
          <w:highlight w:val="white"/>
          <w:rtl w:val="0"/>
        </w:rPr>
        <w:t xml:space="preserve">. Be on the lookout for concepts from the Declaration of Independence and the Preamble to the Constitution as you watch.</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tbl>
      <w:tblPr>
        <w:tblStyle w:val="Table2"/>
        <w:tblW w:w="9765.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765"/>
        <w:tblGridChange w:id="0">
          <w:tblGrid>
            <w:gridCol w:w="9765"/>
          </w:tblGrid>
        </w:tblGridChange>
      </w:tblGrid>
      <w:tr>
        <w:trPr>
          <w:cantSplit w:val="0"/>
          <w:trHeight w:val="852"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9">
            <w:pPr>
              <w:rPr>
                <w:rFonts w:ascii="Arial" w:cs="Arial" w:eastAsia="Arial" w:hAnsi="Arial"/>
                <w:color w:val="002169"/>
              </w:rPr>
            </w:pPr>
            <w:r w:rsidDel="00000000" w:rsidR="00000000" w:rsidRPr="00000000">
              <w:rPr>
                <w:rFonts w:ascii="Arial" w:cs="Arial" w:eastAsia="Arial" w:hAnsi="Arial"/>
                <w:color w:val="002169"/>
                <w:rtl w:val="0"/>
              </w:rPr>
              <w:t xml:space="preserve">Where in the Declaration do you see one of the following key principles: popular sovereignty, natural rights, or the rule of law?</w:t>
            </w:r>
          </w:p>
        </w:tc>
      </w:tr>
      <w:tr>
        <w:trPr>
          <w:cantSplit w:val="0"/>
          <w:trHeight w:val="2427" w:hRule="atLeast"/>
          <w:tblHeader w:val="0"/>
        </w:trPr>
        <w:tc>
          <w:tcPr>
            <w:tcMar>
              <w:top w:w="72.0" w:type="dxa"/>
              <w:left w:w="144.0" w:type="dxa"/>
              <w:bottom w:w="72.0" w:type="dxa"/>
              <w:right w:w="144.0" w:type="dxa"/>
            </w:tcMar>
            <w:vAlign w:val="center"/>
          </w:tcPr>
          <w:p w:rsidR="00000000" w:rsidDel="00000000" w:rsidP="00000000" w:rsidRDefault="00000000" w:rsidRPr="00000000" w14:paraId="0000000A">
            <w:pPr>
              <w:jc w:val="center"/>
              <w:rPr>
                <w:rFonts w:ascii="Arial" w:cs="Arial" w:eastAsia="Arial" w:hAnsi="Arial"/>
                <w:color w:val="002169"/>
              </w:rPr>
            </w:pPr>
            <w:r w:rsidDel="00000000" w:rsidR="00000000" w:rsidRPr="00000000">
              <w:rPr>
                <w:rtl w:val="0"/>
              </w:rPr>
            </w:r>
          </w:p>
        </w:tc>
      </w:tr>
      <w:tr>
        <w:trPr>
          <w:cantSplit w:val="0"/>
          <w:trHeight w:val="717"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B">
            <w:pPr>
              <w:rPr>
                <w:rFonts w:ascii="Arial" w:cs="Arial" w:eastAsia="Arial" w:hAnsi="Arial"/>
                <w:color w:val="002169"/>
              </w:rPr>
            </w:pPr>
            <w:r w:rsidDel="00000000" w:rsidR="00000000" w:rsidRPr="00000000">
              <w:rPr>
                <w:rFonts w:ascii="Arial" w:cs="Arial" w:eastAsia="Arial" w:hAnsi="Arial"/>
                <w:color w:val="002169"/>
                <w:rtl w:val="0"/>
              </w:rPr>
              <w:t xml:space="preserve">How is that key principle defined?</w:t>
            </w:r>
          </w:p>
        </w:tc>
      </w:tr>
      <w:tr>
        <w:trPr>
          <w:cantSplit w:val="0"/>
          <w:trHeight w:val="3375" w:hRule="atLeast"/>
          <w:tblHeader w:val="0"/>
        </w:trPr>
        <w:tc>
          <w:tcPr>
            <w:tcMar>
              <w:top w:w="72.0" w:type="dxa"/>
              <w:left w:w="144.0" w:type="dxa"/>
              <w:bottom w:w="72.0" w:type="dxa"/>
              <w:right w:w="144.0" w:type="dxa"/>
            </w:tcMar>
            <w:vAlign w:val="center"/>
          </w:tcPr>
          <w:p w:rsidR="00000000" w:rsidDel="00000000" w:rsidP="00000000" w:rsidRDefault="00000000" w:rsidRPr="00000000" w14:paraId="0000000C">
            <w:pPr>
              <w:rPr>
                <w:rFonts w:ascii="Arial" w:cs="Arial" w:eastAsia="Arial" w:hAnsi="Arial"/>
                <w:color w:val="002169"/>
              </w:rPr>
            </w:pPr>
            <w:r w:rsidDel="00000000" w:rsidR="00000000" w:rsidRPr="00000000">
              <w:rPr>
                <w:rtl w:val="0"/>
              </w:rPr>
            </w:r>
          </w:p>
        </w:tc>
      </w:tr>
      <w:tr>
        <w:trPr>
          <w:cantSplit w:val="0"/>
          <w:trHeight w:val="681"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D">
            <w:pPr>
              <w:rPr>
                <w:rFonts w:ascii="Arial" w:cs="Arial" w:eastAsia="Arial" w:hAnsi="Arial"/>
                <w:color w:val="002169"/>
              </w:rPr>
            </w:pPr>
            <w:r w:rsidDel="00000000" w:rsidR="00000000" w:rsidRPr="00000000">
              <w:rPr>
                <w:rFonts w:ascii="Arial" w:cs="Arial" w:eastAsia="Arial" w:hAnsi="Arial"/>
                <w:color w:val="002169"/>
                <w:rtl w:val="0"/>
              </w:rPr>
              <w:t xml:space="preserve">What other principles are mentioned?</w:t>
            </w:r>
          </w:p>
        </w:tc>
      </w:tr>
      <w:tr>
        <w:trPr>
          <w:cantSplit w:val="0"/>
          <w:trHeight w:val="1878" w:hRule="atLeast"/>
          <w:tblHeader w:val="0"/>
        </w:trPr>
        <w:tc>
          <w:tcPr>
            <w:tcMar>
              <w:top w:w="72.0" w:type="dxa"/>
              <w:left w:w="144.0" w:type="dxa"/>
              <w:bottom w:w="72.0" w:type="dxa"/>
              <w:right w:w="144.0" w:type="dxa"/>
            </w:tcMar>
            <w:vAlign w:val="center"/>
          </w:tcPr>
          <w:p w:rsidR="00000000" w:rsidDel="00000000" w:rsidP="00000000" w:rsidRDefault="00000000" w:rsidRPr="00000000" w14:paraId="0000000E">
            <w:pPr>
              <w:rPr>
                <w:rFonts w:ascii="Arial" w:cs="Arial" w:eastAsia="Arial" w:hAnsi="Arial"/>
                <w:color w:val="002169"/>
              </w:rPr>
            </w:pPr>
            <w:r w:rsidDel="00000000" w:rsidR="00000000" w:rsidRPr="00000000">
              <w:rPr>
                <w:rtl w:val="0"/>
              </w:rPr>
            </w:r>
          </w:p>
        </w:tc>
      </w:tr>
      <w:tr>
        <w:trPr>
          <w:cantSplit w:val="0"/>
          <w:trHeight w:val="735" w:hRule="atLeast"/>
          <w:tblHeader w:val="0"/>
        </w:trPr>
        <w:tc>
          <w:tcPr>
            <w:shd w:fill="f3f3f3" w:val="clear"/>
            <w:tcMar>
              <w:top w:w="72.0" w:type="dxa"/>
              <w:left w:w="144.0" w:type="dxa"/>
              <w:bottom w:w="72.0" w:type="dxa"/>
              <w:right w:w="144.0" w:type="dxa"/>
            </w:tcMar>
            <w:vAlign w:val="center"/>
          </w:tcPr>
          <w:p w:rsidR="00000000" w:rsidDel="00000000" w:rsidP="00000000" w:rsidRDefault="00000000" w:rsidRPr="00000000" w14:paraId="0000000F">
            <w:pPr>
              <w:rPr>
                <w:rFonts w:ascii="Arial" w:cs="Arial" w:eastAsia="Arial" w:hAnsi="Arial"/>
                <w:color w:val="002169"/>
              </w:rPr>
            </w:pPr>
            <w:r w:rsidDel="00000000" w:rsidR="00000000" w:rsidRPr="00000000">
              <w:rPr>
                <w:rFonts w:ascii="Arial" w:cs="Arial" w:eastAsia="Arial" w:hAnsi="Arial"/>
                <w:color w:val="002169"/>
                <w:rtl w:val="0"/>
              </w:rPr>
              <w:t xml:space="preserve">How does the Preamble to the Constitution reflect these key principles?</w:t>
            </w:r>
          </w:p>
        </w:tc>
      </w:tr>
      <w:tr>
        <w:trPr>
          <w:cantSplit w:val="0"/>
          <w:trHeight w:val="2805" w:hRule="atLeast"/>
          <w:tblHeader w:val="0"/>
        </w:trPr>
        <w:tc>
          <w:tcPr>
            <w:tcMar>
              <w:top w:w="72.0" w:type="dxa"/>
              <w:left w:w="144.0" w:type="dxa"/>
              <w:bottom w:w="72.0" w:type="dxa"/>
              <w:right w:w="144.0" w:type="dxa"/>
            </w:tcMar>
            <w:vAlign w:val="center"/>
          </w:tcPr>
          <w:p w:rsidR="00000000" w:rsidDel="00000000" w:rsidP="00000000" w:rsidRDefault="00000000" w:rsidRPr="00000000" w14:paraId="00000010">
            <w:pPr>
              <w:rPr>
                <w:rFonts w:ascii="Arial" w:cs="Arial" w:eastAsia="Arial" w:hAnsi="Arial"/>
                <w:color w:val="002169"/>
              </w:rPr>
            </w:pPr>
            <w:r w:rsidDel="00000000" w:rsidR="00000000" w:rsidRPr="00000000">
              <w:rPr>
                <w:rtl w:val="0"/>
              </w:rPr>
            </w:r>
          </w:p>
        </w:tc>
      </w:tr>
    </w:tbl>
    <w:p w:rsidR="00000000" w:rsidDel="00000000" w:rsidP="00000000" w:rsidRDefault="00000000" w:rsidRPr="00000000" w14:paraId="00000011">
      <w:pPr>
        <w:spacing w:line="240"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3">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2.4 Video Reflection</w:t>
    </w:r>
  </w:p>
  <w:p w:rsidR="00000000" w:rsidDel="00000000" w:rsidP="00000000" w:rsidRDefault="00000000" w:rsidRPr="00000000" w14:paraId="00000015">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29.0" w:type="dxa"/>
        <w:left w:w="108.0" w:type="dxa"/>
        <w:bottom w:w="29.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PtUOALhytEEzkrA9x5pjPxiQ==">AMUW2mUJtsU82yaDZKCWw9/kUyZEa6jT2acO94/HzitX/hVkUtCHNK2c+VFP9pKtg2J+5SH+xJyt7+mZdhYpTaZsyJIGygMnb+eYvmQ3JUsBAtsfTOaixyo=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2022-08-14T23:59:00Z</dcterms:created>
  <dc:creator>Jenna Winterle Kehres</dc:creator>
</cp:coreProperties>
</file>