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0" w:line="276" w:lineRule="auto"/>
        <w:rPr>
          <w:rFonts w:ascii="Arial" w:cs="Arial" w:eastAsia="Arial" w:hAnsi="Arial"/>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390"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after="0" w:line="240" w:lineRule="auto"/>
              <w:jc w:val="center"/>
              <w:rPr>
                <w:rFonts w:ascii="Arial" w:cs="Arial" w:eastAsia="Arial" w:hAnsi="Arial"/>
                <w:b w:val="1"/>
                <w:color w:val="002169"/>
                <w:sz w:val="32"/>
                <w:szCs w:val="32"/>
              </w:rPr>
            </w:pPr>
            <w:r w:rsidDel="00000000" w:rsidR="00000000" w:rsidRPr="00000000">
              <w:rPr>
                <w:rFonts w:ascii="Arial" w:cs="Arial" w:eastAsia="Arial" w:hAnsi="Arial"/>
                <w:b w:val="1"/>
                <w:color w:val="002169"/>
                <w:sz w:val="32"/>
                <w:szCs w:val="32"/>
                <w:rtl w:val="0"/>
              </w:rPr>
              <w:t xml:space="preserve">INCORPORATION ESSAY BY AKHIL AMAR </w:t>
            </w:r>
          </w:p>
        </w:tc>
      </w:tr>
    </w:tbl>
    <w:p w:rsidR="00000000" w:rsidDel="00000000" w:rsidP="00000000" w:rsidRDefault="00000000" w:rsidRPr="00000000" w14:paraId="00000003">
      <w:pPr>
        <w:rPr>
          <w:rFonts w:ascii="Arial" w:cs="Arial" w:eastAsia="Arial" w:hAnsi="Arial"/>
        </w:rPr>
      </w:pPr>
      <w:r w:rsidDel="00000000" w:rsidR="00000000" w:rsidRPr="00000000">
        <w:rPr>
          <w:rtl w:val="0"/>
        </w:rPr>
      </w:r>
    </w:p>
    <w:p w:rsidR="00000000" w:rsidDel="00000000" w:rsidP="00000000" w:rsidRDefault="00000000" w:rsidRPr="00000000" w14:paraId="00000004">
      <w:pPr>
        <w:rPr>
          <w:rFonts w:ascii="Arial" w:cs="Arial" w:eastAsia="Arial" w:hAnsi="Arial"/>
        </w:rPr>
      </w:pPr>
      <w:r w:rsidDel="00000000" w:rsidR="00000000" w:rsidRPr="00000000">
        <w:rPr>
          <w:rFonts w:ascii="Arial" w:cs="Arial" w:eastAsia="Arial" w:hAnsi="Arial"/>
          <w:rtl w:val="0"/>
        </w:rPr>
        <w:t xml:space="preserve">As ratified, the Bill of Rights only applied to abuses by the national government—not the states. However, following the ratification of the 14th Amendment and later decisions by the Supreme Court, the Bill of Rights became a charter of national freedom—applying key Bill of Rights protections (like free speech and religious liberty) to abuses by all levels of government: national, state, and local. This process is known as incorporation. Today, virtually all of the key protections enshrined in the Bill of Rights apply with equal vigor against all levels of government.</w:t>
      </w:r>
    </w:p>
    <w:p w:rsidR="00000000" w:rsidDel="00000000" w:rsidP="00000000" w:rsidRDefault="00000000" w:rsidRPr="00000000" w14:paraId="00000005">
      <w:pPr>
        <w:rPr>
          <w:rFonts w:ascii="Arial" w:cs="Arial" w:eastAsia="Arial" w:hAnsi="Arial"/>
        </w:rPr>
      </w:pPr>
      <w:r w:rsidDel="00000000" w:rsidR="00000000" w:rsidRPr="00000000">
        <w:rPr>
          <w:rFonts w:ascii="Arial" w:cs="Arial" w:eastAsia="Arial" w:hAnsi="Arial"/>
          <w:rtl w:val="0"/>
        </w:rPr>
        <w:t xml:space="preserve">In this activity, you will explore the relationship between the Bill of Rights and the 14th Amendment and study the process of incorporation.</w:t>
      </w:r>
      <w:r w:rsidDel="00000000" w:rsidR="00000000" w:rsidRPr="00000000">
        <w:rPr>
          <w:rtl w:val="0"/>
        </w:rPr>
      </w:r>
    </w:p>
    <w:p w:rsidR="00000000" w:rsidDel="00000000" w:rsidP="00000000" w:rsidRDefault="00000000" w:rsidRPr="00000000" w14:paraId="00000006">
      <w:pPr>
        <w:jc w:val="center"/>
        <w:rPr>
          <w:rFonts w:ascii="Arial" w:cs="Arial" w:eastAsia="Arial" w:hAnsi="Arial"/>
        </w:rPr>
      </w:pPr>
      <w:r w:rsidDel="00000000" w:rsidR="00000000" w:rsidRPr="00000000">
        <w:rPr>
          <w:rFonts w:ascii="Arial" w:cs="Arial" w:eastAsia="Arial" w:hAnsi="Arial"/>
          <w:rtl w:val="0"/>
        </w:rPr>
        <w:t xml:space="preserve">__________________</w:t>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rtl w:val="0"/>
        </w:rPr>
        <w:t xml:space="preserve">Read the following essay and record your notes using the tool below.</w:t>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Arial" w:cs="Arial" w:eastAsia="Arial" w:hAnsi="Arial"/>
        </w:rPr>
      </w:pPr>
      <w:r w:rsidDel="00000000" w:rsidR="00000000" w:rsidRPr="00000000">
        <w:rPr>
          <w:rFonts w:ascii="Arial" w:cs="Arial" w:eastAsia="Arial" w:hAnsi="Arial"/>
          <w:i w:val="0"/>
          <w:smallCaps w:val="0"/>
          <w:strike w:val="0"/>
          <w:color w:val="000000"/>
          <w:u w:val="none"/>
          <w:shd w:fill="auto" w:val="clear"/>
          <w:vertAlign w:val="baseline"/>
          <w:rtl w:val="0"/>
        </w:rPr>
        <w:t xml:space="preserve">Reading: </w:t>
      </w:r>
      <w:hyperlink r:id="rId7">
        <w:r w:rsidDel="00000000" w:rsidR="00000000" w:rsidRPr="00000000">
          <w:rPr>
            <w:rFonts w:ascii="Arial" w:cs="Arial" w:eastAsia="Arial" w:hAnsi="Arial"/>
            <w:i w:val="0"/>
            <w:smallCaps w:val="0"/>
            <w:strike w:val="0"/>
            <w:color w:val="0563c1"/>
            <w:u w:val="single"/>
            <w:shd w:fill="auto" w:val="clear"/>
            <w:vertAlign w:val="baseline"/>
            <w:rtl w:val="0"/>
          </w:rPr>
          <w:t xml:space="preserve">”The Privileges or Immunities Clause: America’s Lost Clause” by Akhil Reed Amar</w:t>
        </w:r>
      </w:hyperlink>
      <w:r w:rsidDel="00000000" w:rsidR="00000000" w:rsidRPr="00000000">
        <w:rPr>
          <w:rFonts w:ascii="Arial" w:cs="Arial" w:eastAsia="Arial" w:hAnsi="Arial"/>
          <w:rtl w:val="0"/>
        </w:rPr>
        <w:br w:type="textWrapping"/>
      </w:r>
      <w:r w:rsidDel="00000000" w:rsidR="00000000" w:rsidRPr="00000000">
        <w:rPr>
          <w:rtl w:val="0"/>
        </w:rPr>
      </w:r>
    </w:p>
    <w:tbl>
      <w:tblPr>
        <w:tblStyle w:val="Table2"/>
        <w:tblW w:w="9690.0" w:type="dxa"/>
        <w:jc w:val="left"/>
        <w:tblInd w:w="0.0" w:type="dxa"/>
        <w:tblBorders>
          <w:top w:color="00bcca" w:space="0" w:sz="12" w:val="single"/>
          <w:left w:color="00bcca" w:space="0" w:sz="12" w:val="single"/>
          <w:bottom w:color="00bcca" w:space="0" w:sz="12" w:val="single"/>
          <w:right w:color="00bcca" w:space="0" w:sz="12" w:val="single"/>
          <w:insideH w:color="00bcca" w:space="0" w:sz="12" w:val="single"/>
          <w:insideV w:color="00bcca" w:space="0" w:sz="12" w:val="single"/>
        </w:tblBorders>
        <w:tblLayout w:type="fixed"/>
        <w:tblLook w:val="0400"/>
      </w:tblPr>
      <w:tblGrid>
        <w:gridCol w:w="3150"/>
        <w:gridCol w:w="6540"/>
        <w:tblGridChange w:id="0">
          <w:tblGrid>
            <w:gridCol w:w="3150"/>
            <w:gridCol w:w="6540"/>
          </w:tblGrid>
        </w:tblGridChange>
      </w:tblGrid>
      <w:tr>
        <w:trPr>
          <w:cantSplit w:val="0"/>
          <w:trHeight w:val="915" w:hRule="atLeast"/>
          <w:tblHeader w:val="0"/>
        </w:trPr>
        <w:tc>
          <w:tcPr>
            <w:shd w:fill="f3f3f3" w:val="clear"/>
          </w:tcPr>
          <w:p w:rsidR="00000000" w:rsidDel="00000000" w:rsidP="00000000" w:rsidRDefault="00000000" w:rsidRPr="00000000" w14:paraId="00000009">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Key Terms and Questions:</w:t>
            </w:r>
          </w:p>
          <w:p w:rsidR="00000000" w:rsidDel="00000000" w:rsidP="00000000" w:rsidRDefault="00000000" w:rsidRPr="00000000" w14:paraId="0000000A">
            <w:pPr>
              <w:spacing w:after="0" w:line="240" w:lineRule="auto"/>
              <w:rPr>
                <w:rFonts w:ascii="Arial" w:cs="Arial" w:eastAsia="Arial" w:hAnsi="Arial"/>
                <w:i w:val="1"/>
                <w:color w:val="002169"/>
                <w:sz w:val="18"/>
                <w:szCs w:val="18"/>
              </w:rPr>
            </w:pPr>
            <w:r w:rsidDel="00000000" w:rsidR="00000000" w:rsidRPr="00000000">
              <w:rPr>
                <w:rFonts w:ascii="Arial" w:cs="Arial" w:eastAsia="Arial" w:hAnsi="Arial"/>
                <w:i w:val="1"/>
                <w:color w:val="002169"/>
                <w:sz w:val="18"/>
                <w:szCs w:val="18"/>
                <w:rtl w:val="0"/>
              </w:rPr>
              <w:t xml:space="preserve">(After you’ve read the essay, write down key words or terms, and big ideas or questions.)</w:t>
            </w:r>
          </w:p>
        </w:tc>
        <w:tc>
          <w:tcPr>
            <w:shd w:fill="f3f3f3" w:val="clear"/>
          </w:tcPr>
          <w:p w:rsidR="00000000" w:rsidDel="00000000" w:rsidP="00000000" w:rsidRDefault="00000000" w:rsidRPr="00000000" w14:paraId="0000000B">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Notes:</w:t>
              <w:br w:type="textWrapping"/>
            </w:r>
            <w:r w:rsidDel="00000000" w:rsidR="00000000" w:rsidRPr="00000000">
              <w:rPr>
                <w:rFonts w:ascii="Arial" w:cs="Arial" w:eastAsia="Arial" w:hAnsi="Arial"/>
                <w:i w:val="1"/>
                <w:color w:val="002169"/>
                <w:sz w:val="20"/>
                <w:szCs w:val="20"/>
                <w:rtl w:val="0"/>
              </w:rPr>
              <w:t xml:space="preserve">(While you read the essay, take notes in an outline format.)</w:t>
            </w:r>
            <w:r w:rsidDel="00000000" w:rsidR="00000000" w:rsidRPr="00000000">
              <w:rPr>
                <w:rtl w:val="0"/>
              </w:rPr>
            </w:r>
          </w:p>
        </w:tc>
      </w:tr>
      <w:tr>
        <w:trPr>
          <w:cantSplit w:val="0"/>
          <w:trHeight w:val="1770" w:hRule="atLeast"/>
          <w:tblHeader w:val="0"/>
        </w:trPr>
        <w:tc>
          <w:tcPr/>
          <w:p w:rsidR="00000000" w:rsidDel="00000000" w:rsidP="00000000" w:rsidRDefault="00000000" w:rsidRPr="00000000" w14:paraId="0000000C">
            <w:pPr>
              <w:spacing w:after="0" w:line="240"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0D">
            <w:pPr>
              <w:spacing w:after="0" w:line="240" w:lineRule="auto"/>
              <w:rPr>
                <w:rFonts w:ascii="Arial" w:cs="Arial" w:eastAsia="Arial" w:hAnsi="Arial"/>
                <w:b w:val="1"/>
              </w:rPr>
            </w:pPr>
            <w:r w:rsidDel="00000000" w:rsidR="00000000" w:rsidRPr="00000000">
              <w:rPr>
                <w:rtl w:val="0"/>
              </w:rPr>
            </w:r>
          </w:p>
        </w:tc>
      </w:tr>
      <w:tr>
        <w:trPr>
          <w:cantSplit w:val="0"/>
          <w:trHeight w:val="645" w:hRule="atLeast"/>
          <w:tblHeader w:val="0"/>
        </w:trPr>
        <w:tc>
          <w:tcPr>
            <w:gridSpan w:val="2"/>
            <w:shd w:fill="f3f3f3" w:val="clear"/>
            <w:vAlign w:val="center"/>
          </w:tcPr>
          <w:p w:rsidR="00000000" w:rsidDel="00000000" w:rsidP="00000000" w:rsidRDefault="00000000" w:rsidRPr="00000000" w14:paraId="0000000E">
            <w:pPr>
              <w:spacing w:after="0" w:line="240" w:lineRule="auto"/>
              <w:rPr>
                <w:rFonts w:ascii="Arial" w:cs="Arial" w:eastAsia="Arial" w:hAnsi="Arial"/>
                <w:color w:val="002169"/>
                <w:sz w:val="20"/>
                <w:szCs w:val="20"/>
              </w:rPr>
            </w:pPr>
            <w:r w:rsidDel="00000000" w:rsidR="00000000" w:rsidRPr="00000000">
              <w:rPr>
                <w:rFonts w:ascii="Arial" w:cs="Arial" w:eastAsia="Arial" w:hAnsi="Arial"/>
                <w:color w:val="002169"/>
                <w:rtl w:val="0"/>
              </w:rPr>
              <w:t xml:space="preserve">Summary:</w:t>
              <w:br w:type="textWrapping"/>
            </w:r>
            <w:r w:rsidDel="00000000" w:rsidR="00000000" w:rsidRPr="00000000">
              <w:rPr>
                <w:rFonts w:ascii="Arial" w:cs="Arial" w:eastAsia="Arial" w:hAnsi="Arial"/>
                <w:i w:val="1"/>
                <w:color w:val="002169"/>
                <w:sz w:val="20"/>
                <w:szCs w:val="20"/>
                <w:rtl w:val="0"/>
              </w:rPr>
              <w:t xml:space="preserve">(After you’ve read the essay, write a short paragraph summarizing it.)</w:t>
            </w:r>
            <w:r w:rsidDel="00000000" w:rsidR="00000000" w:rsidRPr="00000000">
              <w:rPr>
                <w:rtl w:val="0"/>
              </w:rPr>
            </w:r>
          </w:p>
        </w:tc>
      </w:tr>
      <w:tr>
        <w:trPr>
          <w:cantSplit w:val="0"/>
          <w:trHeight w:val="2175" w:hRule="atLeast"/>
          <w:tblHeader w:val="0"/>
        </w:trPr>
        <w:tc>
          <w:tcPr>
            <w:gridSpan w:val="2"/>
          </w:tcPr>
          <w:p w:rsidR="00000000" w:rsidDel="00000000" w:rsidP="00000000" w:rsidRDefault="00000000" w:rsidRPr="00000000" w14:paraId="00000010">
            <w:pPr>
              <w:spacing w:after="0" w:line="240" w:lineRule="auto"/>
              <w:rPr>
                <w:rFonts w:ascii="Arial" w:cs="Arial" w:eastAsia="Arial" w:hAnsi="Arial"/>
                <w:b w:val="1"/>
              </w:rPr>
            </w:pPr>
            <w:r w:rsidDel="00000000" w:rsidR="00000000" w:rsidRPr="00000000">
              <w:rPr>
                <w:rtl w:val="0"/>
              </w:rPr>
            </w:r>
          </w:p>
        </w:tc>
      </w:tr>
    </w:tbl>
    <w:p w:rsidR="00000000" w:rsidDel="00000000" w:rsidP="00000000" w:rsidRDefault="00000000" w:rsidRPr="00000000" w14:paraId="00000012">
      <w:pPr>
        <w:rPr>
          <w:rFonts w:ascii="Arial" w:cs="Arial" w:eastAsia="Arial" w:hAnsi="Arial"/>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left" w:pos="3305"/>
      </w:tabs>
      <w:spacing w:before="120" w:line="240" w:lineRule="auto"/>
      <w:jc w:val="center"/>
      <w:rPr/>
    </w:pPr>
    <w:r w:rsidDel="00000000" w:rsidR="00000000" w:rsidRPr="00000000">
      <w:rPr>
        <w:rFonts w:ascii="Arial" w:cs="Arial" w:eastAsia="Arial" w:hAnsi="Arial"/>
        <w:b w:val="1"/>
        <w:color w:val="002169"/>
        <w:sz w:val="20"/>
        <w:szCs w:val="20"/>
      </w:rPr>
      <w:drawing>
        <wp:inline distB="114300" distT="114300" distL="114300" distR="114300">
          <wp:extent cx="2313637" cy="581099"/>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spacing w:after="0" w:line="312" w:lineRule="auto"/>
      <w:rPr>
        <w:rFonts w:ascii="Arial" w:cs="Arial" w:eastAsia="Arial" w:hAnsi="Arial"/>
        <w:b w:val="1"/>
        <w:color w:val="002169"/>
        <w:vertAlign w:val="subscript"/>
      </w:rPr>
    </w:pPr>
    <w:r w:rsidDel="00000000" w:rsidR="00000000" w:rsidRPr="00000000">
      <w:rPr>
        <w:rFonts w:ascii="Arial" w:cs="Arial" w:eastAsia="Arial" w:hAnsi="Arial"/>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14">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Module 5: The Bill of Rights</w:t>
    </w:r>
  </w:p>
  <w:p w:rsidR="00000000" w:rsidDel="00000000" w:rsidP="00000000" w:rsidRDefault="00000000" w:rsidRPr="00000000" w14:paraId="00000015">
    <w:pPr>
      <w:spacing w:after="0" w:line="240" w:lineRule="auto"/>
      <w:rPr>
        <w:rFonts w:ascii="Arial" w:cs="Arial" w:eastAsia="Arial" w:hAnsi="Arial"/>
        <w:color w:val="002169"/>
      </w:rPr>
    </w:pPr>
    <w:r w:rsidDel="00000000" w:rsidR="00000000" w:rsidRPr="00000000">
      <w:rPr>
        <w:rFonts w:ascii="Arial" w:cs="Arial" w:eastAsia="Arial" w:hAnsi="Arial"/>
        <w:color w:val="002169"/>
        <w:rtl w:val="0"/>
      </w:rPr>
      <w:t xml:space="preserve">5.6 Activity Guide</w:t>
    </w:r>
  </w:p>
  <w:p w:rsidR="00000000" w:rsidDel="00000000" w:rsidP="00000000" w:rsidRDefault="00000000" w:rsidRPr="00000000" w14:paraId="0000001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B0599"/>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EB0599"/>
    <w:pPr>
      <w:ind w:left="720"/>
      <w:contextualSpacing w:val="1"/>
    </w:pPr>
  </w:style>
  <w:style w:type="character" w:styleId="Hyperlink">
    <w:name w:val="Hyperlink"/>
    <w:basedOn w:val="DefaultParagraphFont"/>
    <w:uiPriority w:val="99"/>
    <w:unhideWhenUsed w:val="1"/>
    <w:rsid w:val="00EB0599"/>
    <w:rPr>
      <w:color w:val="0563c1" w:themeColor="hyperlink"/>
      <w:u w:val="single"/>
    </w:rPr>
  </w:style>
  <w:style w:type="character" w:styleId="UnresolvedMention">
    <w:name w:val="Unresolved Mention"/>
    <w:basedOn w:val="DefaultParagraphFont"/>
    <w:uiPriority w:val="99"/>
    <w:semiHidden w:val="1"/>
    <w:unhideWhenUsed w:val="1"/>
    <w:rsid w:val="00EB0599"/>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onstitutioncenter.org/interactive-constitution/interpretation/amendment-xiv/clauses/704#the-privileges-or-immunities-clause-americas-lost-clause-by-akhil-reed-amar"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24qTXJS6aaPEKTPz+aRriQwkyg==">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2022-07-25T14:20:00Z</dcterms:created>
  <dc:creator>Jenna Winterle Kehres</dc:creator>
</cp:coreProperties>
</file>