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color w:val="002169"/>
        </w:rPr>
      </w:pPr>
      <w:r w:rsidDel="00000000" w:rsidR="00000000" w:rsidRPr="00000000">
        <w:rPr>
          <w:rtl w:val="0"/>
        </w:rPr>
      </w:r>
    </w:p>
    <w:tbl>
      <w:tblPr>
        <w:tblStyle w:val="Table1"/>
        <w:tblW w:w="82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5"/>
        <w:tblGridChange w:id="0">
          <w:tblGrid>
            <w:gridCol w:w="829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METHODS OF CONSTITUTIONAL INTERPRETATION</w:t>
            </w:r>
          </w:p>
        </w:tc>
      </w:tr>
    </w:tbl>
    <w:p w:rsidR="00000000" w:rsidDel="00000000" w:rsidP="00000000" w:rsidRDefault="00000000" w:rsidRPr="00000000" w14:paraId="0000000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4">
      <w:pPr>
        <w:spacing w:line="240" w:lineRule="auto"/>
        <w:rPr>
          <w:rFonts w:ascii="Arial" w:cs="Arial" w:eastAsia="Arial" w:hAnsi="Arial"/>
          <w:sz w:val="24"/>
          <w:szCs w:val="24"/>
        </w:rPr>
      </w:pPr>
      <w:r w:rsidDel="00000000" w:rsidR="00000000" w:rsidRPr="00000000">
        <w:rPr>
          <w:rFonts w:ascii="Arial" w:cs="Arial" w:eastAsia="Arial" w:hAnsi="Arial"/>
          <w:rtl w:val="0"/>
        </w:rPr>
        <w:t xml:space="preserve">Judges use their reasoning skills to decide what particular laws mean when they rule on cases. Different judges sometimes use different methods to interpret the Constitution, meaning that judges do not always agree on the meaning of the Constitution. There are seven widely accepted methods of interpretation that shed light on the meaning of the Constitution.</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tl w:val="0"/>
        </w:rPr>
      </w:r>
    </w:p>
    <w:tbl>
      <w:tblPr>
        <w:tblStyle w:val="Table2"/>
        <w:tblW w:w="9222.48"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2106"/>
        <w:gridCol w:w="7116.4800000000005"/>
        <w:tblGridChange w:id="0">
          <w:tblGrid>
            <w:gridCol w:w="2106"/>
            <w:gridCol w:w="7116.4800000000005"/>
          </w:tblGrid>
        </w:tblGridChange>
      </w:tblGrid>
      <w:tr>
        <w:trPr>
          <w:cantSplit w:val="0"/>
          <w:trHeight w:val="456"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72.0" w:type="dxa"/>
              <w:left w:w="144.0" w:type="dxa"/>
              <w:bottom w:w="72.0" w:type="dxa"/>
              <w:right w:w="144.0" w:type="dxa"/>
            </w:tcMar>
            <w:vAlign w:val="center"/>
          </w:tcPr>
          <w:p w:rsidR="00000000" w:rsidDel="00000000" w:rsidP="00000000" w:rsidRDefault="00000000" w:rsidRPr="00000000" w14:paraId="00000006">
            <w:pPr>
              <w:spacing w:after="0" w:line="240" w:lineRule="auto"/>
              <w:jc w:val="center"/>
              <w:rPr>
                <w:rFonts w:ascii="Arial" w:cs="Arial" w:eastAsia="Arial" w:hAnsi="Arial"/>
                <w:color w:val="002060"/>
              </w:rPr>
            </w:pPr>
            <w:r w:rsidDel="00000000" w:rsidR="00000000" w:rsidRPr="00000000">
              <w:rPr>
                <w:rFonts w:ascii="Arial" w:cs="Arial" w:eastAsia="Arial" w:hAnsi="Arial"/>
                <w:color w:val="002060"/>
                <w:rtl w:val="0"/>
              </w:rPr>
              <w:t xml:space="preserve">Method</w:t>
            </w:r>
          </w:p>
        </w:tc>
        <w:tc>
          <w:tcPr>
            <w:tcBorders>
              <w:top w:color="00bcca" w:space="0" w:sz="12" w:val="single"/>
              <w:left w:color="00bcca" w:space="0" w:sz="12" w:val="single"/>
              <w:bottom w:color="00bcca" w:space="0" w:sz="12" w:val="single"/>
              <w:right w:color="00bcca" w:space="0" w:sz="12" w:val="single"/>
            </w:tcBorders>
            <w:shd w:fill="f3f3f3" w:val="clear"/>
            <w:tcMar>
              <w:top w:w="72.0" w:type="dxa"/>
              <w:left w:w="144.0" w:type="dxa"/>
              <w:bottom w:w="72.0" w:type="dxa"/>
              <w:right w:w="144.0" w:type="dxa"/>
            </w:tcMar>
            <w:vAlign w:val="center"/>
          </w:tcPr>
          <w:p w:rsidR="00000000" w:rsidDel="00000000" w:rsidP="00000000" w:rsidRDefault="00000000" w:rsidRPr="00000000" w14:paraId="00000007">
            <w:pPr>
              <w:spacing w:after="0" w:line="240" w:lineRule="auto"/>
              <w:jc w:val="center"/>
              <w:rPr>
                <w:rFonts w:ascii="Arial" w:cs="Arial" w:eastAsia="Arial" w:hAnsi="Arial"/>
                <w:color w:val="002060"/>
              </w:rPr>
            </w:pPr>
            <w:r w:rsidDel="00000000" w:rsidR="00000000" w:rsidRPr="00000000">
              <w:rPr>
                <w:rFonts w:ascii="Arial" w:cs="Arial" w:eastAsia="Arial" w:hAnsi="Arial"/>
                <w:color w:val="002060"/>
                <w:rtl w:val="0"/>
              </w:rPr>
              <w:t xml:space="preserve">Definition </w:t>
            </w:r>
          </w:p>
        </w:tc>
      </w:tr>
      <w:tr>
        <w:trPr>
          <w:cantSplit w:val="0"/>
          <w:trHeight w:val="873"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72.0" w:type="dxa"/>
              <w:left w:w="144.0" w:type="dxa"/>
              <w:bottom w:w="72.0" w:type="dxa"/>
              <w:right w:w="144.0" w:type="dxa"/>
            </w:tcMar>
            <w:vAlign w:val="center"/>
          </w:tcPr>
          <w:p w:rsidR="00000000" w:rsidDel="00000000" w:rsidP="00000000" w:rsidRDefault="00000000" w:rsidRPr="00000000" w14:paraId="00000008">
            <w:pPr>
              <w:spacing w:after="0" w:line="240" w:lineRule="auto"/>
              <w:jc w:val="center"/>
              <w:rPr>
                <w:rFonts w:ascii="Arial" w:cs="Arial" w:eastAsia="Arial" w:hAnsi="Arial"/>
              </w:rPr>
            </w:pPr>
            <w:r w:rsidDel="00000000" w:rsidR="00000000" w:rsidRPr="00000000">
              <w:rPr>
                <w:rFonts w:ascii="Arial" w:cs="Arial" w:eastAsia="Arial" w:hAnsi="Arial"/>
                <w:color w:val="002060"/>
                <w:rtl w:val="0"/>
              </w:rPr>
              <w:t xml:space="preserve">Text</w:t>
            </w:r>
            <w:r w:rsidDel="00000000" w:rsidR="00000000" w:rsidRPr="00000000">
              <w:rPr>
                <w:rtl w:val="0"/>
              </w:rPr>
            </w:r>
          </w:p>
        </w:tc>
        <w:tc>
          <w:tcPr>
            <w:tcBorders>
              <w:top w:color="00bcca" w:space="0" w:sz="12" w:val="single"/>
              <w:left w:color="00bcca" w:space="0" w:sz="12" w:val="single"/>
              <w:bottom w:color="00bcca" w:space="0" w:sz="12" w:val="single"/>
              <w:right w:color="00bcca" w:space="0" w:sz="12" w:val="single"/>
            </w:tcBorders>
            <w:tcMar>
              <w:top w:w="72.0" w:type="dxa"/>
              <w:left w:w="144.0" w:type="dxa"/>
              <w:bottom w:w="72.0" w:type="dxa"/>
              <w:right w:w="144.0" w:type="dxa"/>
            </w:tcMar>
            <w:vAlign w:val="center"/>
          </w:tcPr>
          <w:p w:rsidR="00000000" w:rsidDel="00000000" w:rsidP="00000000" w:rsidRDefault="00000000" w:rsidRPr="00000000" w14:paraId="00000009">
            <w:pPr>
              <w:spacing w:after="0" w:line="240" w:lineRule="auto"/>
              <w:rPr>
                <w:rFonts w:ascii="Arial" w:cs="Arial" w:eastAsia="Arial" w:hAnsi="Arial"/>
              </w:rPr>
            </w:pPr>
            <w:r w:rsidDel="00000000" w:rsidR="00000000" w:rsidRPr="00000000">
              <w:rPr>
                <w:rFonts w:ascii="Arial" w:cs="Arial" w:eastAsia="Arial" w:hAnsi="Arial"/>
                <w:color w:val="002060"/>
                <w:rtl w:val="0"/>
              </w:rPr>
              <w:t xml:space="preserve">A judge looks to the meaning of the words in the Constitution, relying on common understandings of what the words meant at the time the provision was added.</w:t>
            </w:r>
            <w:r w:rsidDel="00000000" w:rsidR="00000000" w:rsidRPr="00000000">
              <w:rPr>
                <w:rtl w:val="0"/>
              </w:rPr>
            </w:r>
          </w:p>
        </w:tc>
      </w:tr>
      <w:tr>
        <w:trPr>
          <w:cantSplit w:val="0"/>
          <w:trHeight w:val="873"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72.0" w:type="dxa"/>
              <w:left w:w="144.0" w:type="dxa"/>
              <w:bottom w:w="72.0" w:type="dxa"/>
              <w:right w:w="144.0" w:type="dxa"/>
            </w:tcMar>
            <w:vAlign w:val="center"/>
          </w:tcPr>
          <w:p w:rsidR="00000000" w:rsidDel="00000000" w:rsidP="00000000" w:rsidRDefault="00000000" w:rsidRPr="00000000" w14:paraId="0000000A">
            <w:pPr>
              <w:spacing w:after="0" w:line="240" w:lineRule="auto"/>
              <w:jc w:val="center"/>
              <w:rPr>
                <w:rFonts w:ascii="Arial" w:cs="Arial" w:eastAsia="Arial" w:hAnsi="Arial"/>
              </w:rPr>
            </w:pPr>
            <w:r w:rsidDel="00000000" w:rsidR="00000000" w:rsidRPr="00000000">
              <w:rPr>
                <w:rFonts w:ascii="Arial" w:cs="Arial" w:eastAsia="Arial" w:hAnsi="Arial"/>
                <w:color w:val="002060"/>
                <w:rtl w:val="0"/>
              </w:rPr>
              <w:t xml:space="preserve">History </w:t>
            </w:r>
            <w:r w:rsidDel="00000000" w:rsidR="00000000" w:rsidRPr="00000000">
              <w:rPr>
                <w:rtl w:val="0"/>
              </w:rPr>
            </w:r>
          </w:p>
        </w:tc>
        <w:tc>
          <w:tcPr>
            <w:tcBorders>
              <w:top w:color="00bcca" w:space="0" w:sz="12" w:val="single"/>
              <w:left w:color="00bcca" w:space="0" w:sz="12" w:val="single"/>
              <w:bottom w:color="00bcca" w:space="0" w:sz="12" w:val="single"/>
              <w:right w:color="00bcca" w:space="0" w:sz="12" w:val="single"/>
            </w:tcBorders>
            <w:tcMar>
              <w:top w:w="72.0" w:type="dxa"/>
              <w:left w:w="144.0" w:type="dxa"/>
              <w:bottom w:w="72.0" w:type="dxa"/>
              <w:right w:w="144.0" w:type="dxa"/>
            </w:tcMar>
            <w:vAlign w:val="center"/>
          </w:tcPr>
          <w:p w:rsidR="00000000" w:rsidDel="00000000" w:rsidP="00000000" w:rsidRDefault="00000000" w:rsidRPr="00000000" w14:paraId="0000000B">
            <w:pPr>
              <w:spacing w:after="0" w:line="240" w:lineRule="auto"/>
              <w:rPr>
                <w:rFonts w:ascii="Arial" w:cs="Arial" w:eastAsia="Arial" w:hAnsi="Arial"/>
              </w:rPr>
            </w:pPr>
            <w:r w:rsidDel="00000000" w:rsidR="00000000" w:rsidRPr="00000000">
              <w:rPr>
                <w:rFonts w:ascii="Arial" w:cs="Arial" w:eastAsia="Arial" w:hAnsi="Arial"/>
                <w:color w:val="002060"/>
                <w:rtl w:val="0"/>
              </w:rPr>
              <w:t xml:space="preserve">A judge looks to the historical context of when a given provision was drafted and ratified to shed light on its meaning.</w:t>
            </w:r>
            <w:r w:rsidDel="00000000" w:rsidR="00000000" w:rsidRPr="00000000">
              <w:rPr>
                <w:rtl w:val="0"/>
              </w:rPr>
            </w:r>
          </w:p>
        </w:tc>
      </w:tr>
      <w:tr>
        <w:trPr>
          <w:cantSplit w:val="0"/>
          <w:trHeight w:val="873"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72.0" w:type="dxa"/>
              <w:left w:w="144.0" w:type="dxa"/>
              <w:bottom w:w="72.0" w:type="dxa"/>
              <w:right w:w="144.0" w:type="dxa"/>
            </w:tcMar>
            <w:vAlign w:val="center"/>
          </w:tcPr>
          <w:p w:rsidR="00000000" w:rsidDel="00000000" w:rsidP="00000000" w:rsidRDefault="00000000" w:rsidRPr="00000000" w14:paraId="0000000C">
            <w:pPr>
              <w:spacing w:after="0" w:line="240" w:lineRule="auto"/>
              <w:jc w:val="center"/>
              <w:rPr>
                <w:rFonts w:ascii="Arial" w:cs="Arial" w:eastAsia="Arial" w:hAnsi="Arial"/>
              </w:rPr>
            </w:pPr>
            <w:r w:rsidDel="00000000" w:rsidR="00000000" w:rsidRPr="00000000">
              <w:rPr>
                <w:rFonts w:ascii="Arial" w:cs="Arial" w:eastAsia="Arial" w:hAnsi="Arial"/>
                <w:color w:val="002060"/>
                <w:rtl w:val="0"/>
              </w:rPr>
              <w:t xml:space="preserve">Tradition </w:t>
            </w:r>
            <w:r w:rsidDel="00000000" w:rsidR="00000000" w:rsidRPr="00000000">
              <w:rPr>
                <w:rtl w:val="0"/>
              </w:rPr>
            </w:r>
          </w:p>
        </w:tc>
        <w:tc>
          <w:tcPr>
            <w:tcBorders>
              <w:top w:color="00bcca" w:space="0" w:sz="12" w:val="single"/>
              <w:left w:color="00bcca" w:space="0" w:sz="12" w:val="single"/>
              <w:bottom w:color="00bcca" w:space="0" w:sz="12" w:val="single"/>
              <w:right w:color="00bcca" w:space="0" w:sz="12" w:val="single"/>
            </w:tcBorders>
            <w:tcMar>
              <w:top w:w="72.0" w:type="dxa"/>
              <w:left w:w="144.0" w:type="dxa"/>
              <w:bottom w:w="72.0" w:type="dxa"/>
              <w:right w:w="144.0" w:type="dxa"/>
            </w:tcMar>
            <w:vAlign w:val="center"/>
          </w:tcPr>
          <w:p w:rsidR="00000000" w:rsidDel="00000000" w:rsidP="00000000" w:rsidRDefault="00000000" w:rsidRPr="00000000" w14:paraId="0000000D">
            <w:pPr>
              <w:spacing w:after="0" w:line="240" w:lineRule="auto"/>
              <w:rPr>
                <w:rFonts w:ascii="Arial" w:cs="Arial" w:eastAsia="Arial" w:hAnsi="Arial"/>
              </w:rPr>
            </w:pPr>
            <w:r w:rsidDel="00000000" w:rsidR="00000000" w:rsidRPr="00000000">
              <w:rPr>
                <w:rFonts w:ascii="Arial" w:cs="Arial" w:eastAsia="Arial" w:hAnsi="Arial"/>
                <w:color w:val="002060"/>
                <w:rtl w:val="0"/>
              </w:rPr>
              <w:t xml:space="preserve">A judge looks to any laws, customs, and practices established after the framing and ratification of a given provision.</w:t>
            </w:r>
            <w:r w:rsidDel="00000000" w:rsidR="00000000" w:rsidRPr="00000000">
              <w:rPr>
                <w:rtl w:val="0"/>
              </w:rPr>
            </w:r>
          </w:p>
        </w:tc>
      </w:tr>
      <w:tr>
        <w:trPr>
          <w:cantSplit w:val="0"/>
          <w:trHeight w:val="873"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72.0" w:type="dxa"/>
              <w:left w:w="144.0" w:type="dxa"/>
              <w:bottom w:w="72.0" w:type="dxa"/>
              <w:right w:w="144.0" w:type="dxa"/>
            </w:tcMar>
            <w:vAlign w:val="center"/>
          </w:tcPr>
          <w:p w:rsidR="00000000" w:rsidDel="00000000" w:rsidP="00000000" w:rsidRDefault="00000000" w:rsidRPr="00000000" w14:paraId="0000000E">
            <w:pPr>
              <w:spacing w:after="0" w:line="240" w:lineRule="auto"/>
              <w:jc w:val="center"/>
              <w:rPr>
                <w:rFonts w:ascii="Arial" w:cs="Arial" w:eastAsia="Arial" w:hAnsi="Arial"/>
              </w:rPr>
            </w:pPr>
            <w:r w:rsidDel="00000000" w:rsidR="00000000" w:rsidRPr="00000000">
              <w:rPr>
                <w:rFonts w:ascii="Arial" w:cs="Arial" w:eastAsia="Arial" w:hAnsi="Arial"/>
                <w:color w:val="002060"/>
                <w:rtl w:val="0"/>
              </w:rPr>
              <w:t xml:space="preserve">Precedent</w:t>
            </w:r>
            <w:r w:rsidDel="00000000" w:rsidR="00000000" w:rsidRPr="00000000">
              <w:rPr>
                <w:rtl w:val="0"/>
              </w:rPr>
            </w:r>
          </w:p>
        </w:tc>
        <w:tc>
          <w:tcPr>
            <w:tcBorders>
              <w:top w:color="00bcca" w:space="0" w:sz="12" w:val="single"/>
              <w:left w:color="00bcca" w:space="0" w:sz="12" w:val="single"/>
              <w:bottom w:color="00bcca" w:space="0" w:sz="12" w:val="single"/>
              <w:right w:color="00bcca" w:space="0" w:sz="12" w:val="single"/>
            </w:tcBorders>
            <w:tcMar>
              <w:top w:w="72.0" w:type="dxa"/>
              <w:left w:w="144.0" w:type="dxa"/>
              <w:bottom w:w="72.0" w:type="dxa"/>
              <w:right w:w="144.0" w:type="dxa"/>
            </w:tcMar>
            <w:vAlign w:val="center"/>
          </w:tcPr>
          <w:p w:rsidR="00000000" w:rsidDel="00000000" w:rsidP="00000000" w:rsidRDefault="00000000" w:rsidRPr="00000000" w14:paraId="0000000F">
            <w:pPr>
              <w:spacing w:after="0" w:line="240" w:lineRule="auto"/>
              <w:rPr>
                <w:rFonts w:ascii="Arial" w:cs="Arial" w:eastAsia="Arial" w:hAnsi="Arial"/>
              </w:rPr>
            </w:pPr>
            <w:r w:rsidDel="00000000" w:rsidR="00000000" w:rsidRPr="00000000">
              <w:rPr>
                <w:rFonts w:ascii="Arial" w:cs="Arial" w:eastAsia="Arial" w:hAnsi="Arial"/>
                <w:color w:val="002060"/>
                <w:rtl w:val="0"/>
              </w:rPr>
              <w:t xml:space="preserve">A judge applies rules established by precedents—taking rulings in old cases and applying them to new cases.</w:t>
            </w:r>
            <w:r w:rsidDel="00000000" w:rsidR="00000000" w:rsidRPr="00000000">
              <w:rPr>
                <w:rtl w:val="0"/>
              </w:rPr>
            </w:r>
          </w:p>
        </w:tc>
      </w:tr>
      <w:tr>
        <w:trPr>
          <w:cantSplit w:val="0"/>
          <w:trHeight w:val="873"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72.0" w:type="dxa"/>
              <w:left w:w="144.0" w:type="dxa"/>
              <w:bottom w:w="72.0" w:type="dxa"/>
              <w:right w:w="144.0" w:type="dxa"/>
            </w:tcMar>
            <w:vAlign w:val="center"/>
          </w:tcPr>
          <w:p w:rsidR="00000000" w:rsidDel="00000000" w:rsidP="00000000" w:rsidRDefault="00000000" w:rsidRPr="00000000" w14:paraId="00000010">
            <w:pPr>
              <w:spacing w:after="0" w:line="240" w:lineRule="auto"/>
              <w:jc w:val="center"/>
              <w:rPr>
                <w:rFonts w:ascii="Arial" w:cs="Arial" w:eastAsia="Arial" w:hAnsi="Arial"/>
              </w:rPr>
            </w:pPr>
            <w:r w:rsidDel="00000000" w:rsidR="00000000" w:rsidRPr="00000000">
              <w:rPr>
                <w:rFonts w:ascii="Arial" w:cs="Arial" w:eastAsia="Arial" w:hAnsi="Arial"/>
                <w:color w:val="002060"/>
                <w:rtl w:val="0"/>
              </w:rPr>
              <w:t xml:space="preserve">Structure</w:t>
            </w:r>
            <w:r w:rsidDel="00000000" w:rsidR="00000000" w:rsidRPr="00000000">
              <w:rPr>
                <w:rtl w:val="0"/>
              </w:rPr>
            </w:r>
          </w:p>
        </w:tc>
        <w:tc>
          <w:tcPr>
            <w:tcBorders>
              <w:top w:color="00bcca" w:space="0" w:sz="12" w:val="single"/>
              <w:left w:color="00bcca" w:space="0" w:sz="12" w:val="single"/>
              <w:bottom w:color="00bcca" w:space="0" w:sz="12" w:val="single"/>
              <w:right w:color="00bcca" w:space="0" w:sz="12" w:val="single"/>
            </w:tcBorders>
            <w:tcMar>
              <w:top w:w="72.0" w:type="dxa"/>
              <w:left w:w="144.0" w:type="dxa"/>
              <w:bottom w:w="72.0" w:type="dxa"/>
              <w:right w:w="144.0" w:type="dxa"/>
            </w:tcMar>
            <w:vAlign w:val="center"/>
          </w:tcPr>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Fonts w:ascii="Arial" w:cs="Arial" w:eastAsia="Arial" w:hAnsi="Arial"/>
                <w:color w:val="002060"/>
                <w:rtl w:val="0"/>
              </w:rPr>
              <w:t xml:space="preserve">A judge infers structural rules (power relationships between institutions, for instance) from the relationships specifically outlined in the Constitution.</w:t>
            </w:r>
            <w:r w:rsidDel="00000000" w:rsidR="00000000" w:rsidRPr="00000000">
              <w:rPr>
                <w:rtl w:val="0"/>
              </w:rPr>
            </w:r>
          </w:p>
        </w:tc>
      </w:tr>
      <w:tr>
        <w:trPr>
          <w:cantSplit w:val="0"/>
          <w:trHeight w:val="873"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72.0" w:type="dxa"/>
              <w:left w:w="144.0" w:type="dxa"/>
              <w:bottom w:w="72.0" w:type="dxa"/>
              <w:right w:w="144.0" w:type="dxa"/>
            </w:tcMar>
            <w:vAlign w:val="center"/>
          </w:tcPr>
          <w:p w:rsidR="00000000" w:rsidDel="00000000" w:rsidP="00000000" w:rsidRDefault="00000000" w:rsidRPr="00000000" w14:paraId="00000012">
            <w:pPr>
              <w:spacing w:after="0" w:line="240" w:lineRule="auto"/>
              <w:jc w:val="center"/>
              <w:rPr>
                <w:rFonts w:ascii="Arial" w:cs="Arial" w:eastAsia="Arial" w:hAnsi="Arial"/>
              </w:rPr>
            </w:pPr>
            <w:r w:rsidDel="00000000" w:rsidR="00000000" w:rsidRPr="00000000">
              <w:rPr>
                <w:rFonts w:ascii="Arial" w:cs="Arial" w:eastAsia="Arial" w:hAnsi="Arial"/>
                <w:color w:val="002060"/>
                <w:rtl w:val="0"/>
              </w:rPr>
              <w:t xml:space="preserve">Prudence/</w:t>
              <w:br w:type="textWrapping"/>
              <w:t xml:space="preserve">Consequences</w:t>
            </w:r>
            <w:r w:rsidDel="00000000" w:rsidR="00000000" w:rsidRPr="00000000">
              <w:rPr>
                <w:rtl w:val="0"/>
              </w:rPr>
            </w:r>
          </w:p>
        </w:tc>
        <w:tc>
          <w:tcPr>
            <w:tcBorders>
              <w:top w:color="00bcca" w:space="0" w:sz="12" w:val="single"/>
              <w:left w:color="00bcca" w:space="0" w:sz="12" w:val="single"/>
              <w:bottom w:color="00bcca" w:space="0" w:sz="12" w:val="single"/>
              <w:right w:color="00bcca" w:space="0" w:sz="12" w:val="single"/>
            </w:tcBorders>
            <w:tcMar>
              <w:top w:w="72.0" w:type="dxa"/>
              <w:left w:w="144.0" w:type="dxa"/>
              <w:bottom w:w="72.0" w:type="dxa"/>
              <w:right w:w="144.0" w:type="dxa"/>
            </w:tcMar>
            <w:vAlign w:val="center"/>
          </w:tcPr>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color w:val="002060"/>
                <w:rtl w:val="0"/>
              </w:rPr>
              <w:t xml:space="preserve">A judge seeks to balance the costs and benefits of a particular ruling, including its consequences and any concerns about the limits of judicial power and competence.</w:t>
            </w:r>
            <w:r w:rsidDel="00000000" w:rsidR="00000000" w:rsidRPr="00000000">
              <w:rPr>
                <w:rtl w:val="0"/>
              </w:rPr>
            </w:r>
          </w:p>
        </w:tc>
      </w:tr>
      <w:tr>
        <w:trPr>
          <w:cantSplit w:val="0"/>
          <w:trHeight w:val="873"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72.0" w:type="dxa"/>
              <w:left w:w="144.0" w:type="dxa"/>
              <w:bottom w:w="72.0" w:type="dxa"/>
              <w:right w:w="144.0" w:type="dxa"/>
            </w:tcMar>
            <w:vAlign w:val="center"/>
          </w:tcPr>
          <w:p w:rsidR="00000000" w:rsidDel="00000000" w:rsidP="00000000" w:rsidRDefault="00000000" w:rsidRPr="00000000" w14:paraId="00000014">
            <w:pPr>
              <w:spacing w:after="0" w:line="240" w:lineRule="auto"/>
              <w:jc w:val="center"/>
              <w:rPr>
                <w:rFonts w:ascii="Arial" w:cs="Arial" w:eastAsia="Arial" w:hAnsi="Arial"/>
              </w:rPr>
            </w:pPr>
            <w:r w:rsidDel="00000000" w:rsidR="00000000" w:rsidRPr="00000000">
              <w:rPr>
                <w:rFonts w:ascii="Arial" w:cs="Arial" w:eastAsia="Arial" w:hAnsi="Arial"/>
                <w:color w:val="002060"/>
                <w:rtl w:val="0"/>
              </w:rPr>
              <w:t xml:space="preserve">Natural Law/</w:t>
              <w:br w:type="textWrapping"/>
              <w:t xml:space="preserve">Morality</w:t>
            </w:r>
            <w:r w:rsidDel="00000000" w:rsidR="00000000" w:rsidRPr="00000000">
              <w:rPr>
                <w:rtl w:val="0"/>
              </w:rPr>
            </w:r>
          </w:p>
        </w:tc>
        <w:tc>
          <w:tcPr>
            <w:tcBorders>
              <w:top w:color="00bcca" w:space="0" w:sz="12" w:val="single"/>
              <w:left w:color="00bcca" w:space="0" w:sz="12" w:val="single"/>
              <w:bottom w:color="00bcca" w:space="0" w:sz="12" w:val="single"/>
              <w:right w:color="00bcca" w:space="0" w:sz="12" w:val="single"/>
            </w:tcBorders>
            <w:tcMar>
              <w:top w:w="72.0" w:type="dxa"/>
              <w:left w:w="144.0" w:type="dxa"/>
              <w:bottom w:w="72.0" w:type="dxa"/>
              <w:right w:w="144.0" w:type="dxa"/>
            </w:tcMar>
            <w:vAlign w:val="center"/>
          </w:tcPr>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Fonts w:ascii="Arial" w:cs="Arial" w:eastAsia="Arial" w:hAnsi="Arial"/>
                <w:color w:val="002060"/>
                <w:rtl w:val="0"/>
              </w:rPr>
              <w:t xml:space="preserve">A judge draws on principles of moral reasoning—whether embodied in the natural law tradition or drawn from a judge’s own independent, present-day moral judgments.</w:t>
            </w:r>
            <w:r w:rsidDel="00000000" w:rsidR="00000000" w:rsidRPr="00000000">
              <w:rPr>
                <w:rtl w:val="0"/>
              </w:rPr>
            </w:r>
          </w:p>
        </w:tc>
      </w:tr>
    </w:tbl>
    <w:p w:rsidR="00000000" w:rsidDel="00000000" w:rsidP="00000000" w:rsidRDefault="00000000" w:rsidRPr="00000000" w14:paraId="00000016">
      <w:pPr>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8">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8: The Executive Branch and Electoral College</w:t>
    </w:r>
  </w:p>
  <w:p w:rsidR="00000000" w:rsidDel="00000000" w:rsidP="00000000" w:rsidRDefault="00000000" w:rsidRPr="00000000" w14:paraId="00000019">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8.5 Info Brief</w:t>
    </w:r>
  </w:p>
  <w:p w:rsidR="00000000" w:rsidDel="00000000" w:rsidP="00000000" w:rsidRDefault="00000000" w:rsidRPr="00000000" w14:paraId="0000001A">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21CE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semiHidden w:val="1"/>
    <w:unhideWhenUsed w:val="1"/>
    <w:rsid w:val="003256A3"/>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7Df2I4hsXmNVmvvXfdULqsJS8A==">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2022-06-09T16:05:00Z</dcterms:created>
  <dc:creator>Jenna Winterle Kehres</dc:creator>
</cp:coreProperties>
</file>