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MARBURY V. MADISON (1803)</w:t>
            </w:r>
          </w:p>
        </w:tc>
      </w:tr>
    </w:tbl>
    <w:p w:rsidR="00000000" w:rsidDel="00000000" w:rsidP="00000000" w:rsidRDefault="00000000" w:rsidRPr="00000000" w14:paraId="00000003">
      <w:pPr>
        <w:spacing w:line="240"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William Marbury received a judicial appointment from President John Adams, but his commission was not delivered before Adams’s term ended. When President Jefferson refused to deliver Marbury’s commission, Marbury asked the Supreme Court to order the new administration to deliver it and finalize his appointment under the Judiciary Act of 1789. Although the Supreme Court held that it could not provide a remedy for Marbury’s claim because the relevant part of the Judiciary Act was unconstitutional, the Court’s decision in </w:t>
      </w:r>
      <w:r w:rsidDel="00000000" w:rsidR="00000000" w:rsidRPr="00000000">
        <w:rPr>
          <w:i w:val="1"/>
          <w:rtl w:val="0"/>
        </w:rPr>
        <w:t xml:space="preserve">Marbury </w:t>
      </w:r>
      <w:r w:rsidDel="00000000" w:rsidR="00000000" w:rsidRPr="00000000">
        <w:rPr>
          <w:rtl w:val="0"/>
        </w:rPr>
        <w:t xml:space="preserve">confirmed the principle of judicial review—that the Court has the power to declare laws unconstitutional.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Marshall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question, whether an act, repugnant to the constitution, can become the law of the land, is a question deeply interesting to the United States; but, happily, not of an intricacy proportioned to its interest. It seems only necessary to recognise certain principles, supposed to have been long and well established, to decide 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That the people have an original right to establish, for their future government, such principles as, in their opinion, shall most conduce to their own happiness, is the basis on which the whole American fabric has been erected. The exercise of this original right is a very great exertion; nor can it nor ought it to be frequently repeated. The principles, therefore, so established are deemed fundamental. And as the authority, from which they proceed, is supreme, and can seldom act, they are designed to be permanent.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original and supreme will organizes the government, and assigns to different departments their respective powers. It may either stop here; or establish certain limits not to be transcended by those departments.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government of the United States is of the latter description. The powers of the legislature are defined and limited; and that those limits may not be mistaken or forgotten, the constitution is written. To what purpose are powers limited, and to what purpose is that limitation committed to writing; if these limits may, at any time, be passed by those intended to be restrained? The distinction between a government with limited and unlimited powers is abolished, if those limits do not confine the persons on whom they are imposed, and if acts prohibited and acts allowed are of equal obligation. It is a proposition too plain to be contested, that the constitution controls any legislative act repugnant to it; or, that the legislature may alter the constitution by an ordinary act.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Between these alternatives there is no middle ground. The constitution is either a superior, paramount law, unchangeable by ordinary means, or it is on a level with ordinary legislative acts, and like other acts, is alterable when the legislature shall please to alter it.</w:t>
      </w:r>
    </w:p>
    <w:p w:rsidR="00000000" w:rsidDel="00000000" w:rsidP="00000000" w:rsidRDefault="00000000" w:rsidRPr="00000000" w14:paraId="00000017">
      <w:pPr>
        <w:rPr/>
      </w:pPr>
      <w:r w:rsidDel="00000000" w:rsidR="00000000" w:rsidRPr="00000000">
        <w:rPr>
          <w:rtl w:val="0"/>
        </w:rPr>
        <w:t xml:space="preserve">If the former part of the alternative be true, then a legislative act contrary to the constitution is not law: if the latter part be true, then written constitutions are absurd attempts, on the part of the people, to limit a power, in its own nature illimitable.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Certainly all those who have framed written constitutions contemplate them as forming the fundamental and paramount law of the nation, and consequently the theory of every such government must be, that an act of the legislature, repugnant to the constitution, is void.</w:t>
      </w:r>
    </w:p>
    <w:p w:rsidR="00000000" w:rsidDel="00000000" w:rsidP="00000000" w:rsidRDefault="00000000" w:rsidRPr="00000000" w14:paraId="0000001A">
      <w:pPr>
        <w:rPr/>
      </w:pPr>
      <w:r w:rsidDel="00000000" w:rsidR="00000000" w:rsidRPr="00000000">
        <w:rPr>
          <w:rtl w:val="0"/>
        </w:rPr>
        <w:t xml:space="preserve">This theory is essentially attached to a written constitution, and is consequently to be considered, by this court, as one of the fundamental principles of our society. It is not therefore to be lost sight of in the further consideration of this subject.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an act of the legislature, repugnant to the constitution, is void, does it, notwithstanding its invalidity, bind the courts, and oblige them to give it effect? Or, in other words, though it be not law, does it constitute a rule as operative as if it was a law? This would be to overthrow in fact what was established in theory; and would seem, at first view, an absurdity too gross to be insisted on. It shall, however, receive a more attentive consideration.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 is emphatically the province and duty of the judicial department to say what the law is. Those who apply the rule to particular cases, must of necessity expound and interpret that rule. If two laws conflict with each other, the courts must decide on the operation of each.</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0">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21">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marbury-v-madison" TargetMode="External"/><Relationship Id="rId7" Type="http://schemas.openxmlformats.org/officeDocument/2006/relationships/hyperlink" Target="https://supreme.justia.com/cases/federal/us/5/137/#tab-opinion-1958606"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