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WEST VIRGINIA STATE BOARD OF EDUCATION </w:t>
              <w:br w:type="textWrapping"/>
              <w:t xml:space="preserve">V. BARNETTE (1943)</w:t>
            </w:r>
          </w:p>
        </w:tc>
      </w:tr>
    </w:tbl>
    <w:p w:rsidR="00000000" w:rsidDel="00000000" w:rsidP="00000000" w:rsidRDefault="00000000" w:rsidRPr="00000000" w14:paraId="00000003">
      <w:pPr>
        <w:spacing w:line="240" w:lineRule="auto"/>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4">
      <w:pPr>
        <w:spacing w:line="240" w:lineRule="auto"/>
        <w:rPr>
          <w:b w:val="1"/>
          <w:i w:val="1"/>
          <w:sz w:val="26"/>
          <w:szCs w:val="26"/>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Barnette involved a West Virginia state law that compelled students in public schools to salute the American flag as part of the school’s activities. The law was enacted just after America entered World War II. It was in that context that the Supreme Court decided this famous First Amendment case and addressed whether Jehovah’s Witnesses, who had religious scruples against saluting the flag, could nevertheless be compelled to do so. The Barnette children—Marie and Gathie, eight and eleven years old—were Jehovah’s Witnesses instructed by their parents to not salute the flag or say the pledge and were expelled from school for following their parents’ instructions.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Jackson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 sustain the compulsory flag salute we are required to say that a Bill of Rights which guards the individual’s right to speak his own mind, left it open to public authorities to compel him to utter what is not in his mind. .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question which underlies the flag salute controversy is whether such a ceremony so touching matters of opinion and political attitude may be imposed upon the individual by official authority under powers committed to any political organization under our Constitution.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enforce those rights today is not to choose weak government over strong government. It is only to adhere as a means of strength to individual freedom of mind in preference to officially disciplined uniformity for which history indicates a disappointing and disastrous end. .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 . . . We set up government by consent of the governed, and the Bill of Rights denies those in power any legal opportunity to coerce that consent. Authority here is to be controlled by public opinion, not public opinion by authority. . .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can have intellectual individualism and the rich cultural diversities that we owe to exceptional minds only at the price of occasional eccentricity and abnormal attitudes. When they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there is any fixed star in our constitutional constellation, it is that no official, high or petty, can prescribe what shall be orthodox in politics, nationalism, religion, or other matters of opinion or force citizens to confess by word or act their faith therein. If there are any circumstances which permit an exception, they do not now occur to us.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u w:val="single"/>
          <w:rtl w:val="0"/>
        </w:rPr>
        <w:t xml:space="preserve">Excerpt</w:t>
      </w:r>
      <w:r w:rsidDel="00000000" w:rsidR="00000000" w:rsidRPr="00000000">
        <w:rPr>
          <w:b w:val="1"/>
          <w:rtl w:val="0"/>
        </w:rPr>
        <w:t xml:space="preserve">: Concurrence, Justices Black and Douglas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 well-ordered society can leave to the individuals an absolute right to make final decisions, unassailable by the State, as to everything they will or will not do. The First Amendment does not go so far. Religious faiths, honestly held, do not free individuals from responsibility to conduct themselves obediently to laws which are either imperatively necessary to protect society as a whole from grave and pressingly imminent dangers or which, without any general prohibition, merely regulate time, place or manner of religious activity. . . . [W]e cannot say that a failure, because of religious scruples, to assume a particular physical position and to repeat the words of a patriotic formula creates a grave danger to the nation. Such a statutory exaction is a form of test oath, and the test oath has always been abhorrent in the United States. . .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Love of country must spring from willing hearts and free minds, inspired by a fair administration of wise laws enacted by the people’s elected representatives within the bounds of express constitutional prohibitions. These laws must, to be consistent with the First Amendment, permit the widest toleration of conflicting viewpoints consistent with a society of free men. . .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u w:val="single"/>
          <w:rtl w:val="0"/>
        </w:rPr>
        <w:t xml:space="preserve">Excerpt</w:t>
      </w:r>
      <w:r w:rsidDel="00000000" w:rsidR="00000000" w:rsidRPr="00000000">
        <w:rPr>
          <w:b w:val="1"/>
          <w:rtl w:val="0"/>
        </w:rPr>
        <w:t xml:space="preserve">: Concurrence, Justice Murphy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[T]here is before us the right of freedom to believe, freedom to worship one’s Maker according to the dictates of one’s conscience, a right which the Constitution specifically shelters. Reflection has convinced me that as a judge I have no loftier duty or responsibility than to uphold that spiritual freedom to its farthest reaches.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right of freedom of thought and of religion as guaranteed by the Constitution against State action includes both the right to speak freely and the right to refrain from speaking at all, except in so far as essential operations of government may require it for the preservation of an orderly society . . . . Official compulsion to affirm what is contrary to one’s religious beliefs is the antithesis of freedom of worship . .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It is in that freedom and the example of persuasion, not in force and compulsion, that the real unity of America lies. .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u w:val="single"/>
          <w:rtl w:val="0"/>
        </w:rPr>
        <w:t xml:space="preserve">Excerpt</w:t>
      </w:r>
      <w:r w:rsidDel="00000000" w:rsidR="00000000" w:rsidRPr="00000000">
        <w:rPr>
          <w:b w:val="1"/>
          <w:rtl w:val="0"/>
        </w:rPr>
        <w:t xml:space="preserve">: Dissent, Justice Frankfurter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One who belongs to the most vilified and persecuted minority in history is not likely to be insensible to the freedoms guaranteed by our Constitution. Were my purely personal attitude relevant I should whole-heartedly associate myself with the general libertarian views in the Court’s opinion, representing as they do the thought and action of a lifetime. But as judges we are neither Jew nor Gentile, neither Catholic nor agnostic. We owe equal attachment to the Constitution and are equally bound by our judicial obligations whether we derive our citizenship from the earliest or the latest immigrants to these shores. As a member of this Court I am not justified in writing my private notions of policy into the Constitution, no matter how deeply I may cherish them or how mischievous I may deem their disregard. The duty of a judge who must decide which of two claims before the Court shall prevail, that of a State to enact and enforce laws within its general competence or that of an individual to refuse obedience because of the demands of his conscience, is not that of the ordinary person. It can never be emphasized too much that one’s own opinion about the wisdom or evil of a law should be excluded altogether when one is doing one’s duty on the bench. The only opinion of our own even looking in that direction that is material is our opinion whether legislators could in reason have enacted such a law. In the light of all the circumstances, including the history of this question in this Court, it would require more daring than I possess to deny that reasonable legislators could have taken the action which is before us for review. Most unwillingly, therefore, I must differ from my brethren with regard to legislation like this. I cannot bring my mind to believe that the ‘liberty’ secured by the Due Process Clause gives this Court authority to deny to the State of West Virginia the attainment of that which we all recognize as a legitimate legislative end, namely, the promotion of good citizenship, by employment of the means here chosen. . .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constitutional protection of religious freedom terminated disabilities, it did not create new privileges. It gave religious equality, not civil immunity. Its essence is freedom from conformity to religious dogma, not freedom from conformity to law because of religious dogma. Religious loyalties may be exercised without hindrance from the state, not the state may not exercise that which except by leave of religious loyalties is within the domain of temporal power. Otherwise each individual could set up his own censor against obedience to laws conscientiously deemed for the public good by those whose business it is to make laws.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prohibition against any religious establishment by the government placed denominations on an equal footing—it assured freedom from support by the government to any mode of worship and the freedom of individuals to support any mode of worship. Any person may therefore believe or disbelieve what he pleases. He may practice what he will in his own house of worship or publicly within the limits of public order. But the lawmaking authority is not circumscribed by the variety of religious beliefs, otherwise the constitutional guaranty would be not a protection of the free exercise of religion but a denial of the exercise of legislation.</w:t>
      </w:r>
    </w:p>
    <w:p w:rsidR="00000000" w:rsidDel="00000000" w:rsidP="00000000" w:rsidRDefault="00000000" w:rsidRPr="00000000" w14:paraId="00000031">
      <w:pPr>
        <w:rPr/>
      </w:pPr>
      <w:r w:rsidDel="00000000" w:rsidR="00000000" w:rsidRPr="00000000">
        <w:rPr>
          <w:rtl w:val="0"/>
        </w:rPr>
        <w:t xml:space="preserve">The essence of the religious freedom guaranteed by our Constitution is therefore this: no religion shall either receive the state’s support or incur its hostility. Religion is outside the sphere of political government. This does not mean that all matters on which religious organizations or beliefs may pronounce are outside the sphere of government. Were this so, instead of the separation of church and state, there would be the subordination of the state on any matter deemed within the sovereignty of the religious conscience. . .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subjection of dissidents to the general requirement of saluting the flag, as a measure conducive to the training of children in good citizenship, is very far from being the first instance of exacting obedience to general laws that have offended deep religious scruples. Compulsory vaccination, food inspection regulations, the obligation to bear arms, testimonial duties, compulsory medical treatment—these are but illustrations of conduct that has often been compelled in the enforcement of legislation of general applicability even though the religious consciences of particular individuals rebelled at the exaction.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Law is concerned with external behavior and not with the inner life of man. It rests in large measure upon compulsion. Socrates lives in history partly because he gave his life for the conviction that duty of obedience to secular law does not presuppose consent to its enactment or belief in its virtue. . .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One’s conception of the Constitution cannot be severed from one’s conception of a judge’s function in applying it. The Court has no reason for existence if it merely reflects the pressures of the day. Our system is built on the faith that men set apart for this special function, freed from the influences of immediacy and form the deflections of worldly ambition, will become able to take a view of longer range than the period of responsibility entrusted to Congress and legislatures. We are dealing with matters as to which legislators and voters have conflicting views. Are we as judges to impose our strong convictions on where wisdom lies? That which three years ago had seemed to five successive Courts to lie within permissible areas of legislation is now outlawed by the deciding shift of opinion of two Justices. What reason is there to believe that they or their successors may not have another view a few years hence? Is that which was deemed to be of so fundamental a nature as to be written into the Constitution to endure for all times to be the sport of shifting winds of doctrine? . .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Of course patriotism cannot be enforced by the flag salute. But neither can the liberal spirit be enforced by judicial invalidation of illiberal legislation. Our constant preoccupation with the constitutionality of legislation rather than with its wisdom tends to preoccupation of the American mind with a false value. The tendency of focusing attention on constitutionality is to make constitutionality synonymous with wisdom, to regard a law as all right if it is constitutional. Such an attitude is a great enemy of liberalism. Particularly in legislation affecting freedom of thought and freedom of speech much which should offend a free-spirited society is constitutional. Reliance for the most precious interests of civilization, therefore, must be found outside of their vindication in courts of law. Only a persistent positive translation of the faith of a free society into the convictions and habits and actions of a community is the ultimate reliance against unabated temptations to fetter the human spirit.</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B">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3C">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west-virginia-board-of-education-v-barnette" TargetMode="External"/><Relationship Id="rId7" Type="http://schemas.openxmlformats.org/officeDocument/2006/relationships/hyperlink" Target="https://supreme.justia.com/cases/federal/us/319/624/#tab-opinion-193780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