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200025</wp:posOffset>
            </wp:positionV>
            <wp:extent cx="1057339" cy="1057339"/>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57339" cy="1057339"/>
                    </a:xfrm>
                    <a:prstGeom prst="rect"/>
                    <a:ln/>
                  </pic:spPr>
                </pic:pic>
              </a:graphicData>
            </a:graphic>
          </wp:anchor>
        </w:drawing>
      </w:r>
    </w:p>
    <w:p w:rsidR="00000000" w:rsidDel="00000000" w:rsidP="00000000" w:rsidRDefault="00000000" w:rsidRPr="00000000" w14:paraId="00000002">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Fourth Amendment</w:t>
      </w:r>
    </w:p>
    <w:p w:rsidR="00000000" w:rsidDel="00000000" w:rsidP="00000000" w:rsidRDefault="00000000" w:rsidRPr="00000000" w14:paraId="00000003">
      <w:pPr>
        <w:spacing w:line="240" w:lineRule="auto"/>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Advanced Level </w:t>
        <w:br w:type="textWrapping"/>
        <w:t xml:space="preserve">Class Outline and Worksheet</w:t>
      </w:r>
    </w:p>
    <w:p w:rsidR="00000000" w:rsidDel="00000000" w:rsidP="00000000" w:rsidRDefault="00000000" w:rsidRPr="00000000" w14:paraId="00000004">
      <w:pPr>
        <w:spacing w:line="240" w:lineRule="auto"/>
        <w:rPr>
          <w:rFonts w:ascii="Calibri" w:cs="Calibri" w:eastAsia="Calibri" w:hAnsi="Calibri"/>
          <w:b w:val="1"/>
          <w:color w:val="002060"/>
          <w:sz w:val="52"/>
          <w:szCs w:val="52"/>
        </w:rPr>
      </w:pPr>
      <w:r w:rsidDel="00000000" w:rsidR="00000000" w:rsidRPr="00000000">
        <w:rPr>
          <w:rtl w:val="0"/>
        </w:rPr>
      </w:r>
    </w:p>
    <w:p w:rsidR="00000000" w:rsidDel="00000000" w:rsidP="00000000" w:rsidRDefault="00000000" w:rsidRPr="00000000" w14:paraId="00000005">
      <w:pPr>
        <w:pBdr>
          <w:bottom w:color="0070c0" w:space="1" w:sz="4" w:val="single"/>
        </w:pBdr>
        <w:spacing w:line="240" w:lineRule="auto"/>
        <w:rPr>
          <w:rFonts w:ascii="Times New Roman" w:cs="Times New Roman" w:eastAsia="Times New Roman" w:hAnsi="Times New Roman"/>
        </w:rPr>
      </w:pPr>
      <w:r w:rsidDel="00000000" w:rsidR="00000000" w:rsidRPr="00000000">
        <w:rPr>
          <w:rFonts w:ascii="Calibri" w:cs="Calibri" w:eastAsia="Calibri" w:hAnsi="Calibri"/>
          <w:b w:val="1"/>
          <w:smallCaps w:val="1"/>
          <w:color w:val="0070c0"/>
          <w:rtl w:val="0"/>
        </w:rPr>
        <w:t xml:space="preserve">OVERVIEW</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 Introduction to the Constitution’s Text</w:t>
      </w:r>
    </w:p>
    <w:p w:rsidR="00000000" w:rsidDel="00000000" w:rsidP="00000000" w:rsidRDefault="00000000" w:rsidRPr="00000000" w14:paraId="00000008">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II: Hypothetical </w:t>
      </w:r>
    </w:p>
    <w:p w:rsidR="00000000" w:rsidDel="00000000" w:rsidP="00000000" w:rsidRDefault="00000000" w:rsidRPr="00000000" w14:paraId="00000009">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III. Founding Stories of the Fourth Amendment</w:t>
      </w:r>
    </w:p>
    <w:p w:rsidR="00000000" w:rsidDel="00000000" w:rsidP="00000000" w:rsidRDefault="00000000" w:rsidRPr="00000000" w14:paraId="0000000A">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IV. Key Fourth Amendment Supreme Court Cases</w:t>
      </w:r>
    </w:p>
    <w:p w:rsidR="00000000" w:rsidDel="00000000" w:rsidP="00000000" w:rsidRDefault="00000000" w:rsidRPr="00000000" w14:paraId="0000000B">
      <w:pPr>
        <w:pBdr>
          <w:bottom w:color="0070c0" w:space="1" w:sz="4" w:val="single"/>
        </w:pBd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C">
      <w:pPr>
        <w:pBdr>
          <w:bottom w:color="0070c0" w:space="1" w:sz="4" w:val="single"/>
        </w:pBdr>
        <w:spacing w:line="240" w:lineRule="auto"/>
        <w:rPr>
          <w:rFonts w:ascii="Times New Roman" w:cs="Times New Roman" w:eastAsia="Times New Roman" w:hAnsi="Times New Roman"/>
        </w:rPr>
      </w:pPr>
      <w:r w:rsidDel="00000000" w:rsidR="00000000" w:rsidRPr="00000000">
        <w:rPr>
          <w:rFonts w:ascii="Calibri" w:cs="Calibri" w:eastAsia="Calibri" w:hAnsi="Calibri"/>
          <w:b w:val="1"/>
          <w:smallCaps w:val="1"/>
          <w:color w:val="0070c0"/>
          <w:rtl w:val="0"/>
        </w:rPr>
        <w:t xml:space="preserve">INTERACTIVE CONSTITUTION RESOURCES </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pPr>
      <w:hyperlink r:id="rId7">
        <w:r w:rsidDel="00000000" w:rsidR="00000000" w:rsidRPr="00000000">
          <w:rPr>
            <w:rFonts w:ascii="Calibri" w:cs="Calibri" w:eastAsia="Calibri" w:hAnsi="Calibri"/>
            <w:color w:val="1155cc"/>
            <w:u w:val="single"/>
            <w:rtl w:val="0"/>
          </w:rPr>
          <w:t xml:space="preserve">Resources for the Fourth Amendment</w:t>
        </w:r>
      </w:hyperlink>
      <w:r w:rsidDel="00000000" w:rsidR="00000000" w:rsidRPr="00000000">
        <w:rPr>
          <w:rtl w:val="0"/>
        </w:rPr>
      </w:r>
    </w:p>
    <w:p w:rsidR="00000000" w:rsidDel="00000000" w:rsidP="00000000" w:rsidRDefault="00000000" w:rsidRPr="00000000" w14:paraId="0000000F">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10">
      <w:pPr>
        <w:pBdr>
          <w:bottom w:color="0070c0" w:space="1" w:sz="4" w:val="single"/>
        </w:pBdr>
        <w:spacing w:line="240" w:lineRule="auto"/>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BIG QUESTIONS</w:t>
      </w:r>
    </w:p>
    <w:p w:rsidR="00000000" w:rsidDel="00000000" w:rsidP="00000000" w:rsidRDefault="00000000" w:rsidRPr="00000000" w14:paraId="00000011">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Why did the Framers put the Fourth Amendment in the Bill of Rights?</w:t>
      </w:r>
    </w:p>
    <w:p w:rsidR="00000000" w:rsidDel="00000000" w:rsidP="00000000" w:rsidRDefault="00000000" w:rsidRPr="00000000" w14:paraId="00000013">
      <w:pPr>
        <w:numPr>
          <w:ilvl w:val="0"/>
          <w:numId w:val="2"/>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What was the Founding generation’s vision for the Fourth Amendment and its protection against unreasonable searches and seizures?</w:t>
      </w:r>
    </w:p>
    <w:p w:rsidR="00000000" w:rsidDel="00000000" w:rsidP="00000000" w:rsidRDefault="00000000" w:rsidRPr="00000000" w14:paraId="00000014">
      <w:pPr>
        <w:numPr>
          <w:ilvl w:val="0"/>
          <w:numId w:val="2"/>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When does the Fourth Amendment allow the government to search you or seize your property?</w:t>
      </w:r>
    </w:p>
    <w:p w:rsidR="00000000" w:rsidDel="00000000" w:rsidP="00000000" w:rsidRDefault="00000000" w:rsidRPr="00000000" w14:paraId="00000015">
      <w:pPr>
        <w:numPr>
          <w:ilvl w:val="0"/>
          <w:numId w:val="2"/>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When is a government’s search or seizure “reasonable”?</w:t>
      </w: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How has the Supreme Court interpreted the Fourth Amendment over time?  And how has it dealt with the challenge of shaping the Fourth Amendment’s meaning in light of new technologies, especially as it applies to public schools?</w:t>
      </w:r>
    </w:p>
    <w:p w:rsidR="00000000" w:rsidDel="00000000" w:rsidP="00000000" w:rsidRDefault="00000000" w:rsidRPr="00000000" w14:paraId="00000017">
      <w:pPr>
        <w:pBdr>
          <w:bottom w:color="0070c0" w:space="1" w:sz="4" w:val="single"/>
        </w:pBd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18">
      <w:pPr>
        <w:pBdr>
          <w:bottom w:color="0070c0" w:space="1" w:sz="4" w:val="single"/>
        </w:pBdr>
        <w:spacing w:line="240" w:lineRule="auto"/>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BIG IDEA</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the government can search your home or seize your property, it needs a good reason. This is the big idea behind the Fourth Amendment’s warrant requirement. The government needs particularized suspicion—a reason that’s specific to each suspect—before it can get a warrant. Broadly speaking, our Constitution says that the police should only be able to invade a person’s rights to privacy, property, or liberty if they have a specific reason to think that that specific suspect has done something wrong.</w:t>
      </w:r>
    </w:p>
    <w:p w:rsidR="00000000" w:rsidDel="00000000" w:rsidP="00000000" w:rsidRDefault="00000000" w:rsidRPr="00000000" w14:paraId="0000001B">
      <w:pPr>
        <w:spacing w:line="240" w:lineRule="auto"/>
        <w:rPr>
          <w:rFonts w:ascii="Calibri" w:cs="Calibri" w:eastAsia="Calibri" w:hAnsi="Calibri"/>
          <w:b w:val="1"/>
          <w:color w:val="002060"/>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240" w:lineRule="auto"/>
        <w:ind w:right="720"/>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Part One: The Text of the Fourth Amendment</w:t>
      </w:r>
    </w:p>
    <w:p w:rsidR="00000000" w:rsidDel="00000000" w:rsidP="00000000" w:rsidRDefault="00000000" w:rsidRPr="00000000" w14:paraId="0000001D">
      <w:pPr>
        <w:spacing w:line="240" w:lineRule="auto"/>
        <w:ind w:right="720"/>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Write down two or three words to help you define these key terms in the Fourth Amendment.</w:t>
      </w:r>
    </w:p>
    <w:tbl>
      <w:tblPr>
        <w:tblStyle w:val="Table1"/>
        <w:tblW w:w="107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8385"/>
        <w:tblGridChange w:id="0">
          <w:tblGrid>
            <w:gridCol w:w="2400"/>
            <w:gridCol w:w="838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1E">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Search</w:t>
            </w:r>
          </w:p>
          <w:p w:rsidR="00000000" w:rsidDel="00000000" w:rsidP="00000000" w:rsidRDefault="00000000" w:rsidRPr="00000000" w14:paraId="0000001F">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21">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Seizure</w:t>
            </w:r>
          </w:p>
          <w:p w:rsidR="00000000" w:rsidDel="00000000" w:rsidP="00000000" w:rsidRDefault="00000000" w:rsidRPr="00000000" w14:paraId="00000022">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24">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Probable Cause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26">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bl>
    <w:p w:rsidR="00000000" w:rsidDel="00000000" w:rsidP="00000000" w:rsidRDefault="00000000" w:rsidRPr="00000000" w14:paraId="00000027">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28">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bl>
      <w:tblPr>
        <w:tblStyle w:val="Table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5325"/>
        <w:tblGridChange w:id="0">
          <w:tblGrid>
            <w:gridCol w:w="5385"/>
            <w:gridCol w:w="5325"/>
          </w:tblGrid>
        </w:tblGridChange>
      </w:tblGrid>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29">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Hypothetical Question: Can the government track you 24 hours a day, 7 days a week, for an entire month, using your cell phone data and location information?</w:t>
            </w:r>
          </w:p>
        </w:tc>
      </w:tr>
      <w:tr>
        <w:trPr>
          <w:cantSplit w:val="0"/>
          <w:trHeight w:val="18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Answer at the beginning of the session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Answer at the end of the session</w:t>
            </w:r>
          </w:p>
          <w:p w:rsidR="00000000" w:rsidDel="00000000" w:rsidP="00000000" w:rsidRDefault="00000000" w:rsidRPr="00000000" w14:paraId="0000002D">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 </w:t>
            </w:r>
          </w:p>
          <w:p w:rsidR="00000000" w:rsidDel="00000000" w:rsidP="00000000" w:rsidRDefault="00000000" w:rsidRPr="00000000" w14:paraId="0000002E">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 </w:t>
            </w:r>
          </w:p>
          <w:p w:rsidR="00000000" w:rsidDel="00000000" w:rsidP="00000000" w:rsidRDefault="00000000" w:rsidRPr="00000000" w14:paraId="0000002F">
            <w:pPr>
              <w:ind w:right="720"/>
              <w:jc w:val="center"/>
              <w:rPr>
                <w:rFonts w:ascii="Calibri" w:cs="Calibri" w:eastAsia="Calibri" w:hAnsi="Calibri"/>
                <w:b w:val="1"/>
                <w:color w:val="1f3864"/>
                <w:sz w:val="28"/>
                <w:szCs w:val="28"/>
              </w:rPr>
            </w:pPr>
            <w:r w:rsidDel="00000000" w:rsidR="00000000" w:rsidRPr="00000000">
              <w:rPr>
                <w:rtl w:val="0"/>
              </w:rPr>
            </w:r>
          </w:p>
          <w:p w:rsidR="00000000" w:rsidDel="00000000" w:rsidP="00000000" w:rsidRDefault="00000000" w:rsidRPr="00000000" w14:paraId="00000030">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 </w:t>
            </w:r>
          </w:p>
        </w:tc>
      </w:tr>
    </w:tbl>
    <w:p w:rsidR="00000000" w:rsidDel="00000000" w:rsidP="00000000" w:rsidRDefault="00000000" w:rsidRPr="00000000" w14:paraId="00000031">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32">
      <w:pPr>
        <w:spacing w:line="240" w:lineRule="auto"/>
        <w:ind w:right="720"/>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Part Two: Early Fourth Amendment Cases</w:t>
      </w:r>
    </w:p>
    <w:p w:rsidR="00000000" w:rsidDel="00000000" w:rsidP="00000000" w:rsidRDefault="00000000" w:rsidRPr="00000000" w14:paraId="00000033">
      <w:pPr>
        <w:spacing w:line="240" w:lineRule="auto"/>
        <w:ind w:right="720"/>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Complete the chart based on two early Fourth Amendment cases. </w:t>
      </w:r>
    </w:p>
    <w:p w:rsidR="00000000" w:rsidDel="00000000" w:rsidP="00000000" w:rsidRDefault="00000000" w:rsidRPr="00000000" w14:paraId="00000034">
      <w:pPr>
        <w:spacing w:line="240" w:lineRule="auto"/>
        <w:ind w:right="720"/>
        <w:rPr>
          <w:rFonts w:ascii="Calibri" w:cs="Calibri" w:eastAsia="Calibri" w:hAnsi="Calibri"/>
          <w:b w:val="1"/>
          <w:i w:val="1"/>
          <w:color w:val="1f3864"/>
          <w:sz w:val="24"/>
          <w:szCs w:val="24"/>
        </w:rPr>
      </w:pPr>
      <w:r w:rsidDel="00000000" w:rsidR="00000000" w:rsidRPr="00000000">
        <w:rPr>
          <w:rFonts w:ascii="Calibri" w:cs="Calibri" w:eastAsia="Calibri" w:hAnsi="Calibri"/>
          <w:b w:val="1"/>
          <w:color w:val="1f3864"/>
          <w:sz w:val="24"/>
          <w:szCs w:val="24"/>
          <w:rtl w:val="0"/>
        </w:rPr>
        <w:t xml:space="preserve">Possible cases include </w:t>
      </w:r>
      <w:r w:rsidDel="00000000" w:rsidR="00000000" w:rsidRPr="00000000">
        <w:rPr>
          <w:rFonts w:ascii="Calibri" w:cs="Calibri" w:eastAsia="Calibri" w:hAnsi="Calibri"/>
          <w:b w:val="1"/>
          <w:i w:val="1"/>
          <w:color w:val="1f3864"/>
          <w:sz w:val="24"/>
          <w:szCs w:val="24"/>
          <w:rtl w:val="0"/>
        </w:rPr>
        <w:t xml:space="preserve">Olmstead v. United States, Katz v. United States, United States v. Miller, </w:t>
      </w:r>
      <w:r w:rsidDel="00000000" w:rsidR="00000000" w:rsidRPr="00000000">
        <w:rPr>
          <w:rFonts w:ascii="Calibri" w:cs="Calibri" w:eastAsia="Calibri" w:hAnsi="Calibri"/>
          <w:b w:val="1"/>
          <w:color w:val="1f3864"/>
          <w:sz w:val="24"/>
          <w:szCs w:val="24"/>
          <w:rtl w:val="0"/>
        </w:rPr>
        <w:t xml:space="preserve">or </w:t>
      </w:r>
      <w:r w:rsidDel="00000000" w:rsidR="00000000" w:rsidRPr="00000000">
        <w:rPr>
          <w:rFonts w:ascii="Calibri" w:cs="Calibri" w:eastAsia="Calibri" w:hAnsi="Calibri"/>
          <w:b w:val="1"/>
          <w:i w:val="1"/>
          <w:color w:val="1f3864"/>
          <w:sz w:val="24"/>
          <w:szCs w:val="24"/>
          <w:rtl w:val="0"/>
        </w:rPr>
        <w:t xml:space="preserve">Smith v. Maryland.</w:t>
      </w:r>
    </w:p>
    <w:tbl>
      <w:tblPr>
        <w:tblStyle w:val="Table3"/>
        <w:tblW w:w="107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70"/>
        <w:gridCol w:w="3570"/>
        <w:gridCol w:w="3570"/>
        <w:tblGridChange w:id="0">
          <w:tblGrid>
            <w:gridCol w:w="3570"/>
            <w:gridCol w:w="3570"/>
            <w:gridCol w:w="357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35">
            <w:pPr>
              <w:ind w:right="-15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Court Case</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36">
            <w:pPr>
              <w:ind w:right="-8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What was the question?</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37">
            <w:pPr>
              <w:ind w:right="-8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How did the Court rule?</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ind w:right="720"/>
              <w:rPr>
                <w:rFonts w:ascii="Calibri" w:cs="Calibri" w:eastAsia="Calibri" w:hAnsi="Calibri"/>
                <w:b w:val="1"/>
                <w:i w:val="1"/>
                <w:color w:val="1f3864"/>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3A">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3B">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ind w:right="720"/>
              <w:rPr>
                <w:rFonts w:ascii="Calibri" w:cs="Calibri" w:eastAsia="Calibri" w:hAnsi="Calibri"/>
                <w:b w:val="1"/>
                <w:i w:val="1"/>
                <w:color w:val="1f3864"/>
                <w:sz w:val="24"/>
                <w:szCs w:val="24"/>
              </w:rPr>
            </w:pPr>
            <w:r w:rsidDel="00000000" w:rsidR="00000000" w:rsidRPr="00000000">
              <w:rPr>
                <w:rtl w:val="0"/>
              </w:rPr>
            </w:r>
          </w:p>
          <w:p w:rsidR="00000000" w:rsidDel="00000000" w:rsidP="00000000" w:rsidRDefault="00000000" w:rsidRPr="00000000" w14:paraId="0000003E">
            <w:pPr>
              <w:ind w:right="720"/>
              <w:rPr>
                <w:rFonts w:ascii="Calibri" w:cs="Calibri" w:eastAsia="Calibri" w:hAnsi="Calibri"/>
                <w:b w:val="1"/>
                <w:i w:val="1"/>
                <w:color w:val="1f3864"/>
                <w:sz w:val="24"/>
                <w:szCs w:val="24"/>
              </w:rPr>
            </w:pPr>
            <w:r w:rsidDel="00000000" w:rsidR="00000000" w:rsidRPr="00000000">
              <w:rPr>
                <w:rtl w:val="0"/>
              </w:rPr>
            </w:r>
          </w:p>
          <w:p w:rsidR="00000000" w:rsidDel="00000000" w:rsidP="00000000" w:rsidRDefault="00000000" w:rsidRPr="00000000" w14:paraId="0000003F">
            <w:pPr>
              <w:ind w:right="720"/>
              <w:rPr>
                <w:rFonts w:ascii="Calibri" w:cs="Calibri" w:eastAsia="Calibri" w:hAnsi="Calibri"/>
                <w:b w:val="1"/>
                <w:i w:val="1"/>
                <w:color w:val="1f3864"/>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ind w:right="720"/>
              <w:rPr>
                <w:rFonts w:ascii="Calibri" w:cs="Calibri" w:eastAsia="Calibri" w:hAnsi="Calibri"/>
                <w:b w:val="1"/>
                <w:color w:val="1f3864"/>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ind w:right="720"/>
              <w:rPr>
                <w:rFonts w:ascii="Calibri" w:cs="Calibri" w:eastAsia="Calibri" w:hAnsi="Calibri"/>
                <w:b w:val="1"/>
                <w:color w:val="1f3864"/>
                <w:sz w:val="24"/>
                <w:szCs w:val="24"/>
              </w:rPr>
            </w:pPr>
            <w:r w:rsidDel="00000000" w:rsidR="00000000" w:rsidRPr="00000000">
              <w:rPr>
                <w:rtl w:val="0"/>
              </w:rPr>
            </w:r>
          </w:p>
        </w:tc>
      </w:tr>
    </w:tbl>
    <w:p w:rsidR="00000000" w:rsidDel="00000000" w:rsidP="00000000" w:rsidRDefault="00000000" w:rsidRPr="00000000" w14:paraId="00000042">
      <w:pPr>
        <w:spacing w:line="240" w:lineRule="auto"/>
        <w:ind w:right="720"/>
        <w:rPr>
          <w:rFonts w:ascii="Calibri" w:cs="Calibri" w:eastAsia="Calibri" w:hAnsi="Calibri"/>
          <w:b w:val="1"/>
          <w:color w:val="1f3864"/>
          <w:sz w:val="28"/>
          <w:szCs w:val="28"/>
        </w:rPr>
      </w:pPr>
      <w:r w:rsidDel="00000000" w:rsidR="00000000" w:rsidRPr="00000000">
        <w:rPr>
          <w:rtl w:val="0"/>
        </w:rPr>
      </w:r>
    </w:p>
    <w:p w:rsidR="00000000" w:rsidDel="00000000" w:rsidP="00000000" w:rsidRDefault="00000000" w:rsidRPr="00000000" w14:paraId="00000043">
      <w:pPr>
        <w:spacing w:line="240" w:lineRule="auto"/>
        <w:ind w:right="720"/>
        <w:rPr>
          <w:rFonts w:ascii="Calibri" w:cs="Calibri" w:eastAsia="Calibri" w:hAnsi="Calibri"/>
          <w:b w:val="1"/>
          <w:color w:val="1f3864"/>
          <w:sz w:val="28"/>
          <w:szCs w:val="28"/>
        </w:rPr>
      </w:pPr>
      <w:r w:rsidDel="00000000" w:rsidR="00000000" w:rsidRPr="00000000">
        <w:rPr>
          <w:rtl w:val="0"/>
        </w:rPr>
      </w:r>
    </w:p>
    <w:p w:rsidR="00000000" w:rsidDel="00000000" w:rsidP="00000000" w:rsidRDefault="00000000" w:rsidRPr="00000000" w14:paraId="00000044">
      <w:pPr>
        <w:spacing w:line="240" w:lineRule="auto"/>
        <w:ind w:right="720"/>
        <w:rPr>
          <w:rFonts w:ascii="Calibri" w:cs="Calibri" w:eastAsia="Calibri" w:hAnsi="Calibri"/>
          <w:b w:val="1"/>
          <w:color w:val="1f3864"/>
          <w:sz w:val="28"/>
          <w:szCs w:val="28"/>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6030"/>
        <w:tblGridChange w:id="0">
          <w:tblGrid>
            <w:gridCol w:w="4770"/>
            <w:gridCol w:w="603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What is the “third party doctrine”?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color w:val="1f3864"/>
                <w:sz w:val="28"/>
                <w:szCs w:val="28"/>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color w:val="1f3864"/>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How does it connect to questions about the Fourth Amendment?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b w:val="1"/>
                <w:color w:val="1f3864"/>
                <w:sz w:val="28"/>
                <w:szCs w:val="28"/>
              </w:rPr>
            </w:pPr>
            <w:r w:rsidDel="00000000" w:rsidR="00000000" w:rsidRPr="00000000">
              <w:rPr>
                <w:rtl w:val="0"/>
              </w:rPr>
            </w:r>
          </w:p>
        </w:tc>
      </w:tr>
    </w:tbl>
    <w:p w:rsidR="00000000" w:rsidDel="00000000" w:rsidP="00000000" w:rsidRDefault="00000000" w:rsidRPr="00000000" w14:paraId="0000004A">
      <w:pPr>
        <w:spacing w:line="240" w:lineRule="auto"/>
        <w:ind w:right="720"/>
        <w:rPr>
          <w:rFonts w:ascii="Calibri" w:cs="Calibri" w:eastAsia="Calibri" w:hAnsi="Calibri"/>
          <w:b w:val="1"/>
          <w:color w:val="1f3864"/>
          <w:sz w:val="28"/>
          <w:szCs w:val="28"/>
        </w:rPr>
      </w:pPr>
      <w:r w:rsidDel="00000000" w:rsidR="00000000" w:rsidRPr="00000000">
        <w:rPr>
          <w:rtl w:val="0"/>
        </w:rPr>
      </w:r>
    </w:p>
    <w:p w:rsidR="00000000" w:rsidDel="00000000" w:rsidP="00000000" w:rsidRDefault="00000000" w:rsidRPr="00000000" w14:paraId="0000004B">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8"/>
          <w:szCs w:val="28"/>
          <w:rtl w:val="0"/>
        </w:rPr>
        <w:t xml:space="preserve">Part Three: Modern Fourth Amendment Cases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8"/>
                <w:szCs w:val="28"/>
                <w:rtl w:val="0"/>
              </w:rPr>
              <w:t xml:space="preserve">What are some instances when you have an “expectation of privacy”?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b w:val="1"/>
                <w:color w:val="1f3864"/>
                <w:sz w:val="24"/>
                <w:szCs w:val="24"/>
              </w:rPr>
            </w:pPr>
            <w:r w:rsidDel="00000000" w:rsidR="00000000" w:rsidRPr="00000000">
              <w:rPr>
                <w:rtl w:val="0"/>
              </w:rPr>
            </w:r>
          </w:p>
        </w:tc>
      </w:tr>
    </w:tbl>
    <w:p w:rsidR="00000000" w:rsidDel="00000000" w:rsidP="00000000" w:rsidRDefault="00000000" w:rsidRPr="00000000" w14:paraId="00000052">
      <w:pPr>
        <w:spacing w:line="240" w:lineRule="auto"/>
        <w:ind w:right="720"/>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53">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r w:rsidDel="00000000" w:rsidR="00000000" w:rsidRPr="00000000">
        <w:rPr>
          <w:rFonts w:ascii="Calibri" w:cs="Calibri" w:eastAsia="Calibri" w:hAnsi="Calibri"/>
          <w:b w:val="1"/>
          <w:color w:val="1f3864"/>
          <w:sz w:val="28"/>
          <w:szCs w:val="28"/>
          <w:rtl w:val="0"/>
        </w:rPr>
        <w:t xml:space="preserve">Complete the chart with information about </w:t>
      </w:r>
      <w:r w:rsidDel="00000000" w:rsidR="00000000" w:rsidRPr="00000000">
        <w:rPr>
          <w:rFonts w:ascii="Calibri" w:cs="Calibri" w:eastAsia="Calibri" w:hAnsi="Calibri"/>
          <w:b w:val="1"/>
          <w:i w:val="1"/>
          <w:color w:val="002060"/>
          <w:sz w:val="28"/>
          <w:szCs w:val="28"/>
          <w:rtl w:val="0"/>
        </w:rPr>
        <w:t xml:space="preserve">Carpenter v. United States.</w:t>
      </w:r>
      <w:r w:rsidDel="00000000" w:rsidR="00000000" w:rsidRPr="00000000">
        <w:rPr>
          <w:rtl w:val="0"/>
        </w:rPr>
      </w:r>
    </w:p>
    <w:tbl>
      <w:tblPr>
        <w:tblStyle w:val="Table6"/>
        <w:tblW w:w="1077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90.0000000000005"/>
        <w:gridCol w:w="3590.0000000000005"/>
        <w:gridCol w:w="3590.0000000000005"/>
        <w:tblGridChange w:id="0">
          <w:tblGrid>
            <w:gridCol w:w="3590.0000000000005"/>
            <w:gridCol w:w="3590.0000000000005"/>
            <w:gridCol w:w="3590.000000000000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54">
            <w:pPr>
              <w:ind w:right="-105"/>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What was the question?</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55">
            <w:pPr>
              <w:ind w:right="-8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How did the Court rule?</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56">
            <w:pPr>
              <w:ind w:right="-8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Why is this case significant?</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ind w:right="720"/>
              <w:rPr>
                <w:rFonts w:ascii="Calibri" w:cs="Calibri" w:eastAsia="Calibri" w:hAnsi="Calibri"/>
                <w:b w:val="1"/>
                <w:i w:val="1"/>
                <w:color w:val="002060"/>
                <w:sz w:val="28"/>
                <w:szCs w:val="28"/>
              </w:rPr>
            </w:pPr>
            <w:r w:rsidDel="00000000" w:rsidR="00000000" w:rsidRPr="00000000">
              <w:rPr>
                <w:rtl w:val="0"/>
              </w:rPr>
            </w:r>
          </w:p>
          <w:p w:rsidR="00000000" w:rsidDel="00000000" w:rsidP="00000000" w:rsidRDefault="00000000" w:rsidRPr="00000000" w14:paraId="00000058">
            <w:pPr>
              <w:ind w:right="720"/>
              <w:rPr>
                <w:rFonts w:ascii="Calibri" w:cs="Calibri" w:eastAsia="Calibri" w:hAnsi="Calibri"/>
                <w:b w:val="1"/>
                <w:i w:val="1"/>
                <w:color w:val="002060"/>
                <w:sz w:val="24"/>
                <w:szCs w:val="24"/>
              </w:rPr>
            </w:pPr>
            <w:r w:rsidDel="00000000" w:rsidR="00000000" w:rsidRPr="00000000">
              <w:rPr>
                <w:rFonts w:ascii="Calibri" w:cs="Calibri" w:eastAsia="Calibri" w:hAnsi="Calibri"/>
                <w:b w:val="1"/>
                <w:i w:val="1"/>
                <w:color w:val="002060"/>
                <w:sz w:val="24"/>
                <w:szCs w:val="24"/>
                <w:rtl w:val="0"/>
              </w:rPr>
              <w:t xml:space="preserve"> </w:t>
            </w:r>
          </w:p>
          <w:p w:rsidR="00000000" w:rsidDel="00000000" w:rsidP="00000000" w:rsidRDefault="00000000" w:rsidRPr="00000000" w14:paraId="00000059">
            <w:pPr>
              <w:ind w:right="720"/>
              <w:rPr>
                <w:rFonts w:ascii="Calibri" w:cs="Calibri" w:eastAsia="Calibri" w:hAnsi="Calibri"/>
                <w:b w:val="1"/>
                <w:i w:val="1"/>
                <w:color w:val="002060"/>
                <w:sz w:val="24"/>
                <w:szCs w:val="24"/>
              </w:rPr>
            </w:pPr>
            <w:r w:rsidDel="00000000" w:rsidR="00000000" w:rsidRPr="00000000">
              <w:rPr>
                <w:rFonts w:ascii="Calibri" w:cs="Calibri" w:eastAsia="Calibri" w:hAnsi="Calibri"/>
                <w:b w:val="1"/>
                <w:i w:val="1"/>
                <w:color w:val="00206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bl>
    <w:p w:rsidR="00000000" w:rsidDel="00000000" w:rsidP="00000000" w:rsidRDefault="00000000" w:rsidRPr="00000000" w14:paraId="0000005C">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5D">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are some modern questions about Fourth Amendment rights you can think of?</w:t>
      </w:r>
    </w:p>
    <w:p w:rsidR="00000000" w:rsidDel="00000000" w:rsidP="00000000" w:rsidRDefault="00000000" w:rsidRPr="00000000" w14:paraId="0000005E">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Notes and questions:</w:t>
      </w:r>
    </w:p>
    <w:p w:rsidR="00000000" w:rsidDel="00000000" w:rsidP="00000000" w:rsidRDefault="00000000" w:rsidRPr="00000000" w14:paraId="00000065">
      <w:pPr>
        <w:spacing w:line="240" w:lineRule="auto"/>
        <w:rPr>
          <w:rFonts w:ascii="Calibri" w:cs="Calibri" w:eastAsia="Calibri" w:hAnsi="Calibri"/>
          <w:b w:val="1"/>
          <w:color w:val="002060"/>
          <w:sz w:val="52"/>
          <w:szCs w:val="52"/>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680"/>
        <w:tab w:val="right" w:pos="9360"/>
      </w:tabs>
      <w:spacing w:line="240" w:lineRule="auto"/>
      <w:jc w:val="right"/>
      <w:rPr>
        <w:rFonts w:ascii="Calibri" w:cs="Calibri" w:eastAsia="Calibri" w:hAnsi="Calibri"/>
        <w:b w:val="1"/>
        <w:color w:val="00206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color w:val="002060"/>
        <w:sz w:val="24"/>
        <w:szCs w:val="24"/>
        <w:rtl w:val="0"/>
      </w:rPr>
      <w:t xml:space="preserve">Scholar Exchange: Fourth Amendment</w:t>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-71119</wp:posOffset>
          </wp:positionV>
          <wp:extent cx="2240280" cy="5727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67">
    <w:pPr>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Advanced Level Outline and Worksheet</w:t>
    </w:r>
  </w:p>
  <w:p w:rsidR="00000000" w:rsidDel="00000000" w:rsidP="00000000" w:rsidRDefault="00000000" w:rsidRPr="00000000" w14:paraId="00000068">
    <w:pPr>
      <w:spacing w:line="240" w:lineRule="auto"/>
      <w:jc w:val="right"/>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upperLetter"/>
      <w:lvlText w:val="%3."/>
      <w:lvlJc w:val="left"/>
      <w:pPr>
        <w:ind w:left="2160" w:hanging="360"/>
      </w:pPr>
      <w:rPr>
        <w:color w:val="002060"/>
        <w:sz w:val="22"/>
        <w:szCs w:val="22"/>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onstitutioncenter.org/interactive-constitution/big-question/fourth-amendment-search-and-seizur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