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16" w:rsidRDefault="00D60916">
      <w:pPr>
        <w:widowControl w:val="0"/>
        <w:spacing w:after="0" w:line="276" w:lineRule="auto"/>
        <w:rPr>
          <w:rFonts w:ascii="Arial" w:eastAsia="Arial" w:hAnsi="Arial" w:cs="Arial"/>
        </w:rPr>
      </w:pPr>
      <w:bookmarkStart w:id="0" w:name="_GoBack"/>
      <w:bookmarkEnd w:id="0"/>
    </w:p>
    <w:tbl>
      <w:tblPr>
        <w:tblStyle w:val="a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D60916">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rsidR="00D60916" w:rsidRDefault="009928EB">
            <w:pPr>
              <w:spacing w:line="240" w:lineRule="auto"/>
              <w:jc w:val="center"/>
              <w:rPr>
                <w:rFonts w:ascii="Arial" w:eastAsia="Arial" w:hAnsi="Arial" w:cs="Arial"/>
                <w:b/>
                <w:color w:val="002169"/>
                <w:sz w:val="32"/>
                <w:szCs w:val="32"/>
              </w:rPr>
            </w:pPr>
            <w:r>
              <w:rPr>
                <w:rFonts w:ascii="Arial" w:eastAsia="Arial" w:hAnsi="Arial" w:cs="Arial"/>
                <w:b/>
                <w:color w:val="002169"/>
                <w:sz w:val="32"/>
                <w:szCs w:val="32"/>
              </w:rPr>
              <w:t>TESTS OF THE 14TH AMENDMENT</w:t>
            </w:r>
          </w:p>
        </w:tc>
      </w:tr>
    </w:tbl>
    <w:p w:rsidR="00D60916" w:rsidRDefault="00D60916">
      <w:pPr>
        <w:spacing w:after="0" w:line="240" w:lineRule="auto"/>
        <w:rPr>
          <w:rFonts w:ascii="Arial" w:eastAsia="Arial" w:hAnsi="Arial" w:cs="Arial"/>
        </w:rPr>
      </w:pPr>
    </w:p>
    <w:p w:rsidR="00D60916" w:rsidRDefault="009928EB">
      <w:pPr>
        <w:spacing w:after="0" w:line="240" w:lineRule="auto"/>
        <w:rPr>
          <w:rFonts w:ascii="Arial" w:eastAsia="Arial" w:hAnsi="Arial" w:cs="Arial"/>
        </w:rPr>
      </w:pPr>
      <w:r>
        <w:rPr>
          <w:rFonts w:ascii="Arial" w:eastAsia="Arial" w:hAnsi="Arial" w:cs="Arial"/>
        </w:rPr>
        <w:t>The 14th Amendment is the focus of many of the most important constitutional debates (and Supreme Court cases) today. In many ways, the history of the modern Supreme Court is really a history of modern-day battles over the 14th Amendment’s meaning. So many</w:t>
      </w:r>
      <w:r>
        <w:rPr>
          <w:rFonts w:ascii="Arial" w:eastAsia="Arial" w:hAnsi="Arial" w:cs="Arial"/>
        </w:rPr>
        <w:t xml:space="preserve"> of the constitutional cases that you care about today turn on the text of the amendment. In this activity, you will connect cases to the clauses and big ideas in the 14th Amendment, and then summarize the cases for their assigned theme. </w:t>
      </w:r>
    </w:p>
    <w:p w:rsidR="00D60916" w:rsidRDefault="00D60916">
      <w:pPr>
        <w:spacing w:after="0" w:line="240" w:lineRule="auto"/>
        <w:rPr>
          <w:rFonts w:ascii="Arial" w:eastAsia="Arial" w:hAnsi="Arial" w:cs="Arial"/>
        </w:rPr>
      </w:pPr>
    </w:p>
    <w:p w:rsidR="00D60916" w:rsidRDefault="009928EB">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___________</w:t>
      </w:r>
    </w:p>
    <w:p w:rsidR="00D60916" w:rsidRDefault="00D60916">
      <w:pPr>
        <w:rPr>
          <w:rFonts w:ascii="Arial" w:eastAsia="Arial" w:hAnsi="Arial" w:cs="Arial"/>
        </w:rPr>
      </w:pPr>
    </w:p>
    <w:p w:rsidR="00D60916" w:rsidRDefault="009928EB">
      <w:pPr>
        <w:spacing w:after="0" w:line="240" w:lineRule="auto"/>
        <w:rPr>
          <w:rFonts w:ascii="Arial" w:eastAsia="Arial" w:hAnsi="Arial" w:cs="Arial"/>
        </w:rPr>
      </w:pPr>
      <w:r>
        <w:rPr>
          <w:rFonts w:ascii="Arial" w:eastAsia="Arial" w:hAnsi="Arial" w:cs="Arial"/>
        </w:rPr>
        <w:t>You</w:t>
      </w:r>
      <w:r>
        <w:rPr>
          <w:rFonts w:ascii="Arial" w:eastAsia="Arial" w:hAnsi="Arial" w:cs="Arial"/>
        </w:rPr>
        <w:t xml:space="preserve"> will work with a group to review one of the following cases:</w:t>
      </w:r>
    </w:p>
    <w:p w:rsidR="00D60916" w:rsidRDefault="00D60916">
      <w:pPr>
        <w:spacing w:after="0" w:line="240" w:lineRule="auto"/>
        <w:rPr>
          <w:rFonts w:ascii="Arial" w:eastAsia="Arial" w:hAnsi="Arial" w:cs="Arial"/>
        </w:rPr>
      </w:pPr>
    </w:p>
    <w:p w:rsidR="00D60916" w:rsidRDefault="009928EB">
      <w:pPr>
        <w:numPr>
          <w:ilvl w:val="0"/>
          <w:numId w:val="1"/>
        </w:numPr>
        <w:spacing w:after="0" w:line="240" w:lineRule="auto"/>
        <w:rPr>
          <w:rFonts w:ascii="Arial" w:eastAsia="Arial" w:hAnsi="Arial" w:cs="Arial"/>
        </w:rPr>
      </w:pPr>
      <w:hyperlink r:id="rId8">
        <w:r>
          <w:rPr>
            <w:rFonts w:ascii="Arial" w:eastAsia="Arial" w:hAnsi="Arial" w:cs="Arial"/>
            <w:i/>
            <w:color w:val="1155CC"/>
            <w:u w:val="single"/>
          </w:rPr>
          <w:t>United States v. Wong Kim Ark</w:t>
        </w:r>
      </w:hyperlink>
      <w:hyperlink r:id="rId9">
        <w:r>
          <w:rPr>
            <w:rFonts w:ascii="Arial" w:eastAsia="Arial" w:hAnsi="Arial" w:cs="Arial"/>
            <w:color w:val="1155CC"/>
            <w:u w:val="single"/>
          </w:rPr>
          <w:t xml:space="preserve"> (1898)</w:t>
        </w:r>
      </w:hyperlink>
    </w:p>
    <w:p w:rsidR="00D60916" w:rsidRDefault="009928EB">
      <w:pPr>
        <w:numPr>
          <w:ilvl w:val="0"/>
          <w:numId w:val="1"/>
        </w:numPr>
        <w:spacing w:after="0" w:line="240" w:lineRule="auto"/>
        <w:rPr>
          <w:rFonts w:ascii="Arial" w:eastAsia="Arial" w:hAnsi="Arial" w:cs="Arial"/>
        </w:rPr>
      </w:pPr>
      <w:hyperlink r:id="rId10">
        <w:r>
          <w:rPr>
            <w:rFonts w:ascii="Arial" w:eastAsia="Arial" w:hAnsi="Arial" w:cs="Arial"/>
            <w:i/>
            <w:color w:val="1155CC"/>
            <w:u w:val="single"/>
          </w:rPr>
          <w:t>Brown v. Board of Education of Topeka</w:t>
        </w:r>
      </w:hyperlink>
      <w:hyperlink r:id="rId11">
        <w:r>
          <w:rPr>
            <w:rFonts w:ascii="Arial" w:eastAsia="Arial" w:hAnsi="Arial" w:cs="Arial"/>
            <w:color w:val="1155CC"/>
            <w:u w:val="single"/>
          </w:rPr>
          <w:t xml:space="preserve"> (1954)</w:t>
        </w:r>
      </w:hyperlink>
    </w:p>
    <w:p w:rsidR="00D60916" w:rsidRDefault="009928EB">
      <w:pPr>
        <w:numPr>
          <w:ilvl w:val="0"/>
          <w:numId w:val="1"/>
        </w:numPr>
        <w:spacing w:after="0" w:line="240" w:lineRule="auto"/>
        <w:rPr>
          <w:rFonts w:ascii="Arial" w:eastAsia="Arial" w:hAnsi="Arial" w:cs="Arial"/>
        </w:rPr>
      </w:pPr>
      <w:hyperlink r:id="rId12">
        <w:r>
          <w:rPr>
            <w:rFonts w:ascii="Arial" w:eastAsia="Arial" w:hAnsi="Arial" w:cs="Arial"/>
            <w:i/>
            <w:color w:val="1155CC"/>
            <w:u w:val="single"/>
          </w:rPr>
          <w:t>Gideon v. Wainwright</w:t>
        </w:r>
      </w:hyperlink>
      <w:hyperlink r:id="rId13">
        <w:r>
          <w:rPr>
            <w:rFonts w:ascii="Arial" w:eastAsia="Arial" w:hAnsi="Arial" w:cs="Arial"/>
            <w:color w:val="1155CC"/>
            <w:u w:val="single"/>
          </w:rPr>
          <w:t xml:space="preserve"> (1963)</w:t>
        </w:r>
      </w:hyperlink>
    </w:p>
    <w:p w:rsidR="00D60916" w:rsidRDefault="009928EB">
      <w:pPr>
        <w:numPr>
          <w:ilvl w:val="0"/>
          <w:numId w:val="1"/>
        </w:numPr>
        <w:spacing w:after="0" w:line="240" w:lineRule="auto"/>
        <w:rPr>
          <w:rFonts w:ascii="Arial" w:eastAsia="Arial" w:hAnsi="Arial" w:cs="Arial"/>
        </w:rPr>
      </w:pPr>
      <w:hyperlink r:id="rId14">
        <w:r>
          <w:rPr>
            <w:rFonts w:ascii="Arial" w:eastAsia="Arial" w:hAnsi="Arial" w:cs="Arial"/>
            <w:i/>
            <w:color w:val="1155CC"/>
            <w:u w:val="single"/>
          </w:rPr>
          <w:t>Loving v. Virginia</w:t>
        </w:r>
      </w:hyperlink>
      <w:hyperlink r:id="rId15">
        <w:r>
          <w:rPr>
            <w:rFonts w:ascii="Arial" w:eastAsia="Arial" w:hAnsi="Arial" w:cs="Arial"/>
            <w:color w:val="1155CC"/>
            <w:u w:val="single"/>
          </w:rPr>
          <w:t xml:space="preserve"> (1967)</w:t>
        </w:r>
      </w:hyperlink>
    </w:p>
    <w:p w:rsidR="00D60916" w:rsidRDefault="009928EB">
      <w:pPr>
        <w:numPr>
          <w:ilvl w:val="0"/>
          <w:numId w:val="1"/>
        </w:numPr>
        <w:spacing w:after="0" w:line="240" w:lineRule="auto"/>
        <w:rPr>
          <w:rFonts w:ascii="Arial" w:eastAsia="Arial" w:hAnsi="Arial" w:cs="Arial"/>
        </w:rPr>
      </w:pPr>
      <w:hyperlink r:id="rId16">
        <w:r>
          <w:rPr>
            <w:rFonts w:ascii="Arial" w:eastAsia="Arial" w:hAnsi="Arial" w:cs="Arial"/>
            <w:i/>
            <w:color w:val="1155CC"/>
            <w:u w:val="single"/>
          </w:rPr>
          <w:t>Obergefell v. Hodges</w:t>
        </w:r>
      </w:hyperlink>
      <w:hyperlink r:id="rId17">
        <w:r>
          <w:rPr>
            <w:rFonts w:ascii="Arial" w:eastAsia="Arial" w:hAnsi="Arial" w:cs="Arial"/>
            <w:color w:val="1155CC"/>
            <w:u w:val="single"/>
          </w:rPr>
          <w:t xml:space="preserve"> (2015)</w:t>
        </w:r>
      </w:hyperlink>
    </w:p>
    <w:p w:rsidR="00D60916" w:rsidRDefault="009928EB">
      <w:pPr>
        <w:numPr>
          <w:ilvl w:val="0"/>
          <w:numId w:val="1"/>
        </w:numPr>
        <w:spacing w:after="0" w:line="240" w:lineRule="auto"/>
        <w:rPr>
          <w:rFonts w:ascii="Arial" w:eastAsia="Arial" w:hAnsi="Arial" w:cs="Arial"/>
        </w:rPr>
      </w:pPr>
      <w:hyperlink r:id="rId18">
        <w:r>
          <w:rPr>
            <w:rFonts w:ascii="Arial" w:eastAsia="Arial" w:hAnsi="Arial" w:cs="Arial"/>
            <w:i/>
            <w:color w:val="1155CC"/>
            <w:u w:val="single"/>
          </w:rPr>
          <w:t>United States v. Virginia</w:t>
        </w:r>
      </w:hyperlink>
      <w:hyperlink r:id="rId19">
        <w:r>
          <w:rPr>
            <w:rFonts w:ascii="Arial" w:eastAsia="Arial" w:hAnsi="Arial" w:cs="Arial"/>
            <w:color w:val="1155CC"/>
            <w:u w:val="single"/>
          </w:rPr>
          <w:t xml:space="preserve"> (1996)</w:t>
        </w:r>
      </w:hyperlink>
    </w:p>
    <w:p w:rsidR="00D60916" w:rsidRDefault="009928EB">
      <w:pPr>
        <w:numPr>
          <w:ilvl w:val="0"/>
          <w:numId w:val="1"/>
        </w:numPr>
        <w:spacing w:after="0" w:line="240" w:lineRule="auto"/>
        <w:rPr>
          <w:rFonts w:ascii="Arial" w:eastAsia="Arial" w:hAnsi="Arial" w:cs="Arial"/>
        </w:rPr>
      </w:pPr>
      <w:hyperlink r:id="rId20">
        <w:r>
          <w:rPr>
            <w:rFonts w:ascii="Arial" w:eastAsia="Arial" w:hAnsi="Arial" w:cs="Arial"/>
            <w:i/>
            <w:color w:val="1155CC"/>
            <w:u w:val="single"/>
          </w:rPr>
          <w:t xml:space="preserve">Dobbs v. Jackson Women’s Health Organization </w:t>
        </w:r>
      </w:hyperlink>
      <w:hyperlink r:id="rId21">
        <w:r>
          <w:rPr>
            <w:rFonts w:ascii="Arial" w:eastAsia="Arial" w:hAnsi="Arial" w:cs="Arial"/>
            <w:color w:val="1155CC"/>
            <w:u w:val="single"/>
          </w:rPr>
          <w:t>(2022)</w:t>
        </w:r>
      </w:hyperlink>
    </w:p>
    <w:p w:rsidR="00D60916" w:rsidRDefault="00D60916">
      <w:pPr>
        <w:spacing w:after="0" w:line="240" w:lineRule="auto"/>
        <w:ind w:left="720"/>
        <w:rPr>
          <w:rFonts w:ascii="Arial" w:eastAsia="Arial" w:hAnsi="Arial" w:cs="Arial"/>
        </w:rPr>
      </w:pPr>
    </w:p>
    <w:p w:rsidR="00D60916" w:rsidRDefault="009928EB">
      <w:pPr>
        <w:rPr>
          <w:rFonts w:ascii="Arial" w:eastAsia="Arial" w:hAnsi="Arial" w:cs="Arial"/>
        </w:rPr>
      </w:pPr>
      <w:r>
        <w:rPr>
          <w:rFonts w:ascii="Arial" w:eastAsia="Arial" w:hAnsi="Arial" w:cs="Arial"/>
          <w:color w:val="000000"/>
        </w:rPr>
        <w:t xml:space="preserve">Read excerpts from </w:t>
      </w:r>
      <w:r>
        <w:rPr>
          <w:rFonts w:ascii="Arial" w:eastAsia="Arial" w:hAnsi="Arial" w:cs="Arial"/>
        </w:rPr>
        <w:t>your assigned case</w:t>
      </w:r>
      <w:r>
        <w:rPr>
          <w:rFonts w:ascii="Arial" w:eastAsia="Arial" w:hAnsi="Arial" w:cs="Arial"/>
          <w:color w:val="000000"/>
        </w:rPr>
        <w:t xml:space="preserve"> from </w:t>
      </w:r>
      <w:r>
        <w:rPr>
          <w:rFonts w:ascii="Arial" w:eastAsia="Arial" w:hAnsi="Arial" w:cs="Arial"/>
        </w:rPr>
        <w:t xml:space="preserve">the </w:t>
      </w:r>
      <w:r>
        <w:rPr>
          <w:rFonts w:ascii="Arial" w:eastAsia="Arial" w:hAnsi="Arial" w:cs="Arial"/>
          <w:i/>
          <w:color w:val="000000"/>
        </w:rPr>
        <w:t>Founders’ Library</w:t>
      </w:r>
      <w:r>
        <w:rPr>
          <w:rFonts w:ascii="Arial" w:eastAsia="Arial" w:hAnsi="Arial" w:cs="Arial"/>
        </w:rPr>
        <w:t xml:space="preserve"> and complete the chart below as if your role is</w:t>
      </w:r>
      <w:r>
        <w:rPr>
          <w:rFonts w:ascii="Arial" w:eastAsia="Arial" w:hAnsi="Arial" w:cs="Arial"/>
        </w:rPr>
        <w:t xml:space="preserve"> to brief the case like a constitutional lawyer. </w:t>
      </w:r>
    </w:p>
    <w:tbl>
      <w:tblPr>
        <w:tblStyle w:val="a6"/>
        <w:tblW w:w="9350" w:type="dxa"/>
        <w:tblInd w:w="-108"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9350"/>
      </w:tblGrid>
      <w:tr w:rsidR="00D60916">
        <w:trPr>
          <w:trHeight w:val="431"/>
        </w:trPr>
        <w:tc>
          <w:tcPr>
            <w:tcW w:w="9350" w:type="dxa"/>
            <w:shd w:val="clear" w:color="auto" w:fill="F3F3F3"/>
            <w:vAlign w:val="center"/>
          </w:tcPr>
          <w:p w:rsidR="00D60916" w:rsidRDefault="009928EB">
            <w:pPr>
              <w:rPr>
                <w:rFonts w:ascii="Arial" w:eastAsia="Arial" w:hAnsi="Arial" w:cs="Arial"/>
                <w:b/>
                <w:color w:val="002169"/>
              </w:rPr>
            </w:pPr>
            <w:r>
              <w:rPr>
                <w:rFonts w:ascii="Arial" w:eastAsia="Arial" w:hAnsi="Arial" w:cs="Arial"/>
                <w:color w:val="002169"/>
              </w:rPr>
              <w:t>My Case:</w:t>
            </w:r>
          </w:p>
        </w:tc>
      </w:tr>
      <w:tr w:rsidR="00D60916">
        <w:trPr>
          <w:trHeight w:val="863"/>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t xml:space="preserve">Facts: </w:t>
            </w:r>
          </w:p>
          <w:p w:rsidR="00D60916" w:rsidRDefault="009928EB">
            <w:pPr>
              <w:rPr>
                <w:rFonts w:ascii="Arial" w:eastAsia="Arial" w:hAnsi="Arial" w:cs="Arial"/>
                <w:color w:val="002169"/>
              </w:rPr>
            </w:pPr>
            <w:r>
              <w:rPr>
                <w:rFonts w:ascii="Arial" w:eastAsia="Arial" w:hAnsi="Arial" w:cs="Arial"/>
                <w:color w:val="002169"/>
              </w:rPr>
              <w:t>Who are all the people (parties) associated with the case? What was the dispute between them?</w:t>
            </w:r>
          </w:p>
        </w:tc>
      </w:tr>
      <w:tr w:rsidR="00D60916">
        <w:trPr>
          <w:trHeight w:val="1296"/>
        </w:trPr>
        <w:tc>
          <w:tcPr>
            <w:tcW w:w="9350" w:type="dxa"/>
            <w:vAlign w:val="center"/>
          </w:tcPr>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tc>
      </w:tr>
      <w:tr w:rsidR="00D60916">
        <w:trPr>
          <w:trHeight w:val="863"/>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t xml:space="preserve">Issue: </w:t>
            </w:r>
          </w:p>
          <w:p w:rsidR="00D60916" w:rsidRDefault="009928EB">
            <w:pPr>
              <w:rPr>
                <w:rFonts w:ascii="Arial" w:eastAsia="Arial" w:hAnsi="Arial" w:cs="Arial"/>
              </w:rPr>
            </w:pPr>
            <w:r>
              <w:rPr>
                <w:rFonts w:ascii="Arial" w:eastAsia="Arial" w:hAnsi="Arial" w:cs="Arial"/>
                <w:color w:val="002169"/>
              </w:rPr>
              <w:t>What is the issue in this case? What constitutional provision is at issue? What is the constitutional question that needs to be answered</w:t>
            </w:r>
            <w:r>
              <w:rPr>
                <w:rFonts w:ascii="Arial" w:eastAsia="Arial" w:hAnsi="Arial" w:cs="Arial"/>
              </w:rPr>
              <w:t>?</w:t>
            </w:r>
          </w:p>
        </w:tc>
      </w:tr>
      <w:tr w:rsidR="00D60916">
        <w:trPr>
          <w:trHeight w:val="1440"/>
        </w:trPr>
        <w:tc>
          <w:tcPr>
            <w:tcW w:w="9350" w:type="dxa"/>
            <w:vAlign w:val="center"/>
          </w:tcPr>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tc>
      </w:tr>
      <w:tr w:rsidR="00D60916">
        <w:trPr>
          <w:trHeight w:val="863"/>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lastRenderedPageBreak/>
              <w:t xml:space="preserve">Ruling: </w:t>
            </w:r>
          </w:p>
          <w:p w:rsidR="00D60916" w:rsidRDefault="009928EB">
            <w:pPr>
              <w:rPr>
                <w:rFonts w:ascii="Arial" w:eastAsia="Arial" w:hAnsi="Arial" w:cs="Arial"/>
                <w:color w:val="002169"/>
              </w:rPr>
            </w:pPr>
            <w:r>
              <w:rPr>
                <w:rFonts w:ascii="Arial" w:eastAsia="Arial" w:hAnsi="Arial" w:cs="Arial"/>
                <w:color w:val="002169"/>
              </w:rPr>
              <w:t>How does the Court rule? What was the outcome in the case? Who won and who lost? How did the justices vote? What sort of rule does the Court come up with to resolve the issue?</w:t>
            </w:r>
          </w:p>
        </w:tc>
      </w:tr>
      <w:tr w:rsidR="00D60916">
        <w:trPr>
          <w:trHeight w:val="1440"/>
        </w:trPr>
        <w:tc>
          <w:tcPr>
            <w:tcW w:w="9350" w:type="dxa"/>
            <w:vAlign w:val="center"/>
          </w:tcPr>
          <w:p w:rsidR="00D60916" w:rsidRDefault="00D60916">
            <w:pPr>
              <w:rPr>
                <w:rFonts w:ascii="Arial" w:eastAsia="Arial" w:hAnsi="Arial" w:cs="Arial"/>
              </w:rPr>
            </w:pPr>
          </w:p>
        </w:tc>
      </w:tr>
      <w:tr w:rsidR="00D60916">
        <w:trPr>
          <w:trHeight w:val="576"/>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t>Who was the author of the majority opinion?</w:t>
            </w:r>
          </w:p>
        </w:tc>
      </w:tr>
      <w:tr w:rsidR="00D60916">
        <w:trPr>
          <w:trHeight w:val="1440"/>
        </w:trPr>
        <w:tc>
          <w:tcPr>
            <w:tcW w:w="9350" w:type="dxa"/>
            <w:shd w:val="clear" w:color="auto" w:fill="FFFFFF"/>
            <w:vAlign w:val="center"/>
          </w:tcPr>
          <w:p w:rsidR="00D60916" w:rsidRDefault="00D60916">
            <w:pPr>
              <w:rPr>
                <w:rFonts w:ascii="Arial" w:eastAsia="Arial" w:hAnsi="Arial" w:cs="Arial"/>
                <w:b/>
              </w:rPr>
            </w:pPr>
          </w:p>
        </w:tc>
      </w:tr>
      <w:tr w:rsidR="00D60916">
        <w:trPr>
          <w:trHeight w:val="720"/>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t>Were there any concurring or dissenting opinions? Who authored them? What did they say? How would the justices who authored them have ruled in the case?</w:t>
            </w:r>
          </w:p>
        </w:tc>
      </w:tr>
      <w:tr w:rsidR="00D60916">
        <w:trPr>
          <w:trHeight w:val="1440"/>
        </w:trPr>
        <w:tc>
          <w:tcPr>
            <w:tcW w:w="9350" w:type="dxa"/>
            <w:shd w:val="clear" w:color="auto" w:fill="FFFFFF"/>
            <w:vAlign w:val="center"/>
          </w:tcPr>
          <w:p w:rsidR="00D60916" w:rsidRDefault="00D60916">
            <w:pPr>
              <w:rPr>
                <w:rFonts w:ascii="Arial" w:eastAsia="Arial" w:hAnsi="Arial" w:cs="Arial"/>
                <w:b/>
              </w:rPr>
            </w:pPr>
          </w:p>
        </w:tc>
      </w:tr>
      <w:tr w:rsidR="00D60916">
        <w:trPr>
          <w:trHeight w:val="720"/>
        </w:trPr>
        <w:tc>
          <w:tcPr>
            <w:tcW w:w="9350" w:type="dxa"/>
            <w:shd w:val="clear" w:color="auto" w:fill="F3F3F3"/>
            <w:vAlign w:val="center"/>
          </w:tcPr>
          <w:p w:rsidR="00D60916" w:rsidRDefault="009928EB">
            <w:pPr>
              <w:rPr>
                <w:rFonts w:ascii="Arial" w:eastAsia="Arial" w:hAnsi="Arial" w:cs="Arial"/>
                <w:color w:val="002169"/>
              </w:rPr>
            </w:pPr>
            <w:r>
              <w:rPr>
                <w:rFonts w:ascii="Arial" w:eastAsia="Arial" w:hAnsi="Arial" w:cs="Arial"/>
                <w:color w:val="002169"/>
              </w:rPr>
              <w:t xml:space="preserve">Application </w:t>
            </w:r>
          </w:p>
          <w:p w:rsidR="00D60916" w:rsidRDefault="009928EB">
            <w:pPr>
              <w:rPr>
                <w:rFonts w:ascii="Arial" w:eastAsia="Arial" w:hAnsi="Arial" w:cs="Arial"/>
                <w:color w:val="002169"/>
              </w:rPr>
            </w:pPr>
            <w:r>
              <w:rPr>
                <w:rFonts w:ascii="Arial" w:eastAsia="Arial" w:hAnsi="Arial" w:cs="Arial"/>
                <w:color w:val="002169"/>
              </w:rPr>
              <w:t>How does this case connect with any of the big idea(s) from the 14th Amendment?</w:t>
            </w:r>
          </w:p>
        </w:tc>
      </w:tr>
      <w:tr w:rsidR="00D60916">
        <w:trPr>
          <w:trHeight w:val="1440"/>
        </w:trPr>
        <w:tc>
          <w:tcPr>
            <w:tcW w:w="9350" w:type="dxa"/>
            <w:vAlign w:val="center"/>
          </w:tcPr>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p w:rsidR="00D60916" w:rsidRDefault="00D60916">
            <w:pPr>
              <w:rPr>
                <w:rFonts w:ascii="Arial" w:eastAsia="Arial" w:hAnsi="Arial" w:cs="Arial"/>
              </w:rPr>
            </w:pPr>
          </w:p>
        </w:tc>
      </w:tr>
    </w:tbl>
    <w:p w:rsidR="00D60916" w:rsidRDefault="00D60916">
      <w:pPr>
        <w:spacing w:after="0" w:line="240" w:lineRule="auto"/>
        <w:rPr>
          <w:rFonts w:ascii="Arial" w:eastAsia="Arial" w:hAnsi="Arial" w:cs="Arial"/>
        </w:rPr>
      </w:pPr>
    </w:p>
    <w:p w:rsidR="00D60916" w:rsidRDefault="009928EB">
      <w:pPr>
        <w:spacing w:after="0" w:line="240" w:lineRule="auto"/>
        <w:rPr>
          <w:rFonts w:ascii="Arial" w:eastAsia="Arial" w:hAnsi="Arial" w:cs="Arial"/>
        </w:rPr>
      </w:pPr>
      <w:r>
        <w:rPr>
          <w:rFonts w:ascii="Arial" w:eastAsia="Arial" w:hAnsi="Arial" w:cs="Arial"/>
        </w:rPr>
        <w:t>Prepare a short presentation of the case for the class that includes visuals.</w:t>
      </w:r>
    </w:p>
    <w:sectPr w:rsidR="00D60916">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8EB" w:rsidRDefault="009928EB">
      <w:pPr>
        <w:spacing w:after="0" w:line="240" w:lineRule="auto"/>
      </w:pPr>
      <w:r>
        <w:separator/>
      </w:r>
    </w:p>
  </w:endnote>
  <w:endnote w:type="continuationSeparator" w:id="0">
    <w:p w:rsidR="009928EB" w:rsidRDefault="0099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16" w:rsidRDefault="009928EB">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8EB" w:rsidRDefault="009928EB">
      <w:pPr>
        <w:spacing w:after="0" w:line="240" w:lineRule="auto"/>
      </w:pPr>
      <w:r>
        <w:separator/>
      </w:r>
    </w:p>
  </w:footnote>
  <w:footnote w:type="continuationSeparator" w:id="0">
    <w:p w:rsidR="009928EB" w:rsidRDefault="0099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16" w:rsidRDefault="009928EB">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3" name="Straight Arrow Connector 3"/>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D60916" w:rsidRDefault="009928EB">
    <w:pPr>
      <w:spacing w:after="0" w:line="240" w:lineRule="auto"/>
      <w:rPr>
        <w:rFonts w:ascii="Arial" w:eastAsia="Arial" w:hAnsi="Arial" w:cs="Arial"/>
        <w:color w:val="002169"/>
      </w:rPr>
    </w:pPr>
    <w:r>
      <w:rPr>
        <w:rFonts w:ascii="Arial" w:eastAsia="Arial" w:hAnsi="Arial" w:cs="Arial"/>
        <w:color w:val="002169"/>
      </w:rPr>
      <w:t>Module 14: Battles for Freedom and Equality: Modern Battles</w:t>
    </w:r>
  </w:p>
  <w:p w:rsidR="00D60916" w:rsidRDefault="009928EB">
    <w:pPr>
      <w:spacing w:after="0" w:line="240" w:lineRule="auto"/>
    </w:pPr>
    <w:r>
      <w:rPr>
        <w:rFonts w:ascii="Arial" w:eastAsia="Arial" w:hAnsi="Arial" w:cs="Arial"/>
        <w:color w:val="002169"/>
      </w:rPr>
      <w:t>14.4 Case Brief</w:t>
    </w:r>
    <w:r>
      <w:rPr>
        <w:rFonts w:ascii="Arial" w:eastAsia="Arial" w:hAnsi="Arial" w:cs="Arial"/>
        <w:color w:val="00216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5975"/>
    <w:multiLevelType w:val="multilevel"/>
    <w:tmpl w:val="3408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16"/>
    <w:rsid w:val="009928EB"/>
    <w:rsid w:val="00AC0AA4"/>
    <w:rsid w:val="00D6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7C71-97B9-4240-B516-119CEB8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8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782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29" w:type="dxa"/>
        <w:bottom w:w="29"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education/classroom-resource-library/classroom/14.4-primary-source-united-states-v-wong-kim-ark-1898" TargetMode="External"/><Relationship Id="rId13" Type="http://schemas.openxmlformats.org/officeDocument/2006/relationships/hyperlink" Target="https://constitutioncenter.org/education/classroom-resource-library/classroom/14.4-primary-source-gideon-v-wainwright-1963" TargetMode="External"/><Relationship Id="rId18" Type="http://schemas.openxmlformats.org/officeDocument/2006/relationships/hyperlink" Target="https://constitutioncenter.org/education/classroom-resource-library/classroom/14.4-primary-source-united-states-v-virginia-1996" TargetMode="External"/><Relationship Id="rId3" Type="http://schemas.openxmlformats.org/officeDocument/2006/relationships/styles" Target="styles.xml"/><Relationship Id="rId21" Type="http://schemas.openxmlformats.org/officeDocument/2006/relationships/hyperlink" Target="https://constitutioncenter.org/education/classroom-resource-library/classroom/14.4-primary-source-dobbs-v-jackson-womens-health-organization-2022" TargetMode="External"/><Relationship Id="rId7" Type="http://schemas.openxmlformats.org/officeDocument/2006/relationships/endnotes" Target="endnotes.xml"/><Relationship Id="rId12" Type="http://schemas.openxmlformats.org/officeDocument/2006/relationships/hyperlink" Target="https://constitutioncenter.org/education/classroom-resource-library/classroom/14.4-primary-source-gideon-v-wainwright-1963" TargetMode="External"/><Relationship Id="rId17" Type="http://schemas.openxmlformats.org/officeDocument/2006/relationships/hyperlink" Target="https://constitutioncenter.org/education/classroom-resource-library/classroom/14.4-primary-source-obergefell-v-hodges-20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titutioncenter.org/education/classroom-resource-library/classroom/14.4-primary-source-obergefell-v-hodges-2015" TargetMode="External"/><Relationship Id="rId20" Type="http://schemas.openxmlformats.org/officeDocument/2006/relationships/hyperlink" Target="https://constitutioncenter.org/education/classroom-resource-library/classroom/14.4-primary-source-dobbs-v-jackson-womens-health-organization-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itutioncenter.org/education/classroom-resource-library/classroom/14.4-primary-source-brown-v-board-of-education-of-topeka-19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titutioncenter.org/education/classroom-resource-library/classroom/14.4-primary-source-loving-v-virginia-1967" TargetMode="External"/><Relationship Id="rId23" Type="http://schemas.openxmlformats.org/officeDocument/2006/relationships/footer" Target="footer1.xml"/><Relationship Id="rId10" Type="http://schemas.openxmlformats.org/officeDocument/2006/relationships/hyperlink" Target="https://constitutioncenter.org/education/classroom-resource-library/classroom/14.4-primary-source-brown-v-board-of-education-of-topeka-1954" TargetMode="External"/><Relationship Id="rId19" Type="http://schemas.openxmlformats.org/officeDocument/2006/relationships/hyperlink" Target="https://constitutioncenter.org/education/classroom-resource-library/classroom/14.4-primary-source-united-states-v-virginia-1996" TargetMode="External"/><Relationship Id="rId4" Type="http://schemas.openxmlformats.org/officeDocument/2006/relationships/settings" Target="settings.xml"/><Relationship Id="rId9" Type="http://schemas.openxmlformats.org/officeDocument/2006/relationships/hyperlink" Target="https://constitutioncenter.org/education/classroom-resource-library/classroom/14.4-primary-source-united-states-v-wong-kim-ark-1898" TargetMode="External"/><Relationship Id="rId14" Type="http://schemas.openxmlformats.org/officeDocument/2006/relationships/hyperlink" Target="https://constitutioncenter.org/education/classroom-resource-library/classroom/14.4-primary-source-loving-v-virginia-1967"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gibuTQo83qr20cYs7KF3/Uw2A==">AMUW2mW+OtdxtiJTZujd8jhEFBwBoQFv40NGInVxrh1y8fR/X/wDVDiZ8GTAuQMiFb4drisEWaVLwkPtt2WP/0PeHZEqciZ3pwNgCj4Gol2+KedqKMD24vk=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Splendoria</dc:creator>
  <cp:lastModifiedBy>Jenna Winterle Kehres</cp:lastModifiedBy>
  <cp:revision>2</cp:revision>
  <dcterms:created xsi:type="dcterms:W3CDTF">2023-04-06T20:55:00Z</dcterms:created>
  <dcterms:modified xsi:type="dcterms:W3CDTF">2023-04-06T20:55:00Z</dcterms:modified>
</cp:coreProperties>
</file>