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TINKER V. DES MOINES INDEPENDENT </w:t>
              <w:br w:type="textWrapping"/>
              <w:t xml:space="preserve">COMMUNITY SCHOOL DISTRICT (1969)</w:t>
            </w:r>
          </w:p>
        </w:tc>
      </w:tr>
    </w:tbl>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b w:val="1"/>
          <w:i w:val="1"/>
          <w:sz w:val="26"/>
          <w:szCs w:val="26"/>
        </w:rPr>
      </w:pPr>
      <w:r w:rsidDel="00000000" w:rsidR="00000000" w:rsidRPr="00000000">
        <w:rPr>
          <w:rtl w:val="0"/>
        </w:rPr>
        <w:t xml:space="preserve">View the case on the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color w:val="002169"/>
          <w:rtl w:val="0"/>
        </w:rPr>
        <w:t xml:space="preserve">SUMMARY</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i w:val="1"/>
          <w:rtl w:val="0"/>
        </w:rPr>
        <w:t xml:space="preserve">Tinker v. Des Moines Independent School District</w:t>
      </w:r>
      <w:r w:rsidDel="00000000" w:rsidR="00000000" w:rsidRPr="00000000">
        <w:rPr>
          <w:rtl w:val="0"/>
        </w:rPr>
        <w:t xml:space="preserve"> is a landmark case addressing the free speech rights of public school students. In Tinker, a group of high school students wore black armbands to school to protest the Vietnam War. The students were disciplined by the school for wearing the armbands, and the students filed a lawsuit arguing that their armbands were a form of symbolic protest protected by the First Amendment. In a 7-2 decision, the Supreme Court agreed with the students. In his opinion for the Court majority, Justice Abe Fortas held that the students retained their First Amendment rights while at school as long as their expressive acts did not “materially or substantially interfere” with the school’s operation. In </w:t>
      </w:r>
      <w:r w:rsidDel="00000000" w:rsidR="00000000" w:rsidRPr="00000000">
        <w:rPr>
          <w:i w:val="1"/>
          <w:rtl w:val="0"/>
        </w:rPr>
        <w:t xml:space="preserve">Tinker</w:t>
      </w:r>
      <w:r w:rsidDel="00000000" w:rsidR="00000000" w:rsidRPr="00000000">
        <w:rPr>
          <w:rtl w:val="0"/>
        </w:rPr>
        <w:t xml:space="preserve">, there was no actual interference. The school only feared potential disruption. This was not enough to survive a First Amendment challenge. While </w:t>
      </w:r>
      <w:r w:rsidDel="00000000" w:rsidR="00000000" w:rsidRPr="00000000">
        <w:rPr>
          <w:i w:val="1"/>
          <w:rtl w:val="0"/>
        </w:rPr>
        <w:t xml:space="preserve">Tinker </w:t>
      </w:r>
      <w:r w:rsidDel="00000000" w:rsidR="00000000" w:rsidRPr="00000000">
        <w:rPr>
          <w:rtl w:val="0"/>
        </w:rPr>
        <w:t xml:space="preserve">is an important defense of free speech rights for students, it also emphasized the limits of free speech rights in the school context—namely, schools may limit student speech when it “materially or substantially interfere[s]” with a school’s operations and its central mission, teaching students.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hyperlink r:id="rId7">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u w:val="single"/>
          <w:rtl w:val="0"/>
        </w:rPr>
        <w:t xml:space="preserve">Excerpt</w:t>
      </w:r>
      <w:r w:rsidDel="00000000" w:rsidR="00000000" w:rsidRPr="00000000">
        <w:rPr>
          <w:b w:val="1"/>
          <w:rtl w:val="0"/>
        </w:rPr>
        <w:t xml:space="preserve">: Majority Opinion, Justice Fortas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Petitioner John F. Tinker, 15 years old, and petitioner Christopher Eckhardt, 16 years old, attended high schools in Des Moines, Iowa. Petitioner Mary Beth Tinker, John’s sister, was a 13-year-old student in junior high school.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 December, 1965, a group of adults and students in Des Moines held a meeting at the Eckhardt home. The group determined to publicize their objections to the hostilities in Vietnam and their support for a truce by wearing black armbands during the holiday season and by fasting on December 16 and New Year’s Eve. . .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principals of the Des Moines schools became aware of the plan to wear armbands. On December 14, 1965, they met and adopted a policy that any student wearing an armband to school would be asked to remove it, and, if he refused, he would be suspended until he returned without the armband. Petitioners were aware of the regulation that the school authorities adopted.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On December 16, Mary Beth and Christopher wore black armbands to their schools. John Tinker wore his armband the next day. They were all sent home and suspended from school until they would come back without their armbands. They did not return to school until after the planned period for wearing armbands had expired – that is, until after New Year’s Day.</w:t>
      </w:r>
    </w:p>
    <w:p w:rsidR="00000000" w:rsidDel="00000000" w:rsidP="00000000" w:rsidRDefault="00000000" w:rsidRPr="00000000" w14:paraId="00000015">
      <w:pPr>
        <w:rPr/>
      </w:pPr>
      <w:r w:rsidDel="00000000" w:rsidR="00000000" w:rsidRPr="00000000">
        <w:rPr>
          <w:rtl w:val="0"/>
        </w:rPr>
        <w:t xml:space="preserve">This complaint was filed . . . by petitioners, through their fathers . . . . It prayed for an injunction restraining the respondent school officials and the respondent members of the board of directors of the school district from disciplining the petitioners . . . .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wearing of armbands in the circumstances of this case was entirely divorced from actually or potentially disruptive conduct by those participating in it. It was closely akin to “pure speech” which, we have repeatedly held, is entitled to comprehensive protection under the First Amendment.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 This has been the unmistakable holding of this Court for almost 50 years . . . .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On the other hand, the Court has repeatedly emphasized the need for affirming the comprehensive authority of the States and of school officials, consistent with fundamental constitutional safeguards, to prescribe and control conduct in the schools. Our problem lies in the area where students in the exercise of First Amendment rights collide with the rules of the school authorities. . . .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problem posed by the present case does not relate to regulation of the length of skirts or the type of clothing, to hair style, or deportment. It does not concern aggressive, disruptive action or even group demonstrations. Our problem involves direct, primary First Amendment rights akin to “pure speech.”</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school officials banned and sought to punish petitioners for a silent, passive expression of opinion, unaccompanied by any disorder or disturbance on the part of petitioners. There is here no evidence whatever of petitioners’ interference, actual or nascent, with the schools’ work or of collision with the rights of other students to be secure and to be let alone. Accordingly, this case does not concern speech or action that intrudes upon the work of the schools or the rights of other students.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Only a few of the 18,000 students in the school system wore the black armbands. Only five students were suspended for wearing them. There is no indication that the work of the schools or any class was disrupted. Outside the classrooms, a few students made hostile remarks to the children wearing armbands, but there were no threats or acts of violence on school premises.</w:t>
      </w:r>
    </w:p>
    <w:p w:rsidR="00000000" w:rsidDel="00000000" w:rsidP="00000000" w:rsidRDefault="00000000" w:rsidRPr="00000000" w14:paraId="00000022">
      <w:pPr>
        <w:rPr/>
      </w:pPr>
      <w:r w:rsidDel="00000000" w:rsidR="00000000" w:rsidRPr="00000000">
        <w:rPr>
          <w:rtl w:val="0"/>
        </w:rPr>
        <w:t xml:space="preserve">The District Court concluded that the action of the school authorities was reasonable because it was based upon their fear of a disturbance from the wearing of the armbands. But, in our system, undifferentiated fear or apprehension of disturbance is not enough to overcome the right to freedom of expression. Any departure from absolute regimentation may cause trouble. Any variation from the majority’s opinion may inspire fear. Any word spoken, in class, in the lunchroom, or on the campus, that deviates from the views of another person may start an argument or cause a disturbance. But our Constitution says we must take this risk, and our history says that it is this sort of hazardous freedom – this kind of openness – that is the basis of our national strength and of the independence and vigor of Americans who grow up and live in this relatively permissive, often disputatious, society.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In order for the State in the person of school officials to justify prohibition of a particular expression of opinion, it must be able to show that its action was caused by something more than a mere desire to avoid the discomfort and unpleasantness that always accompany an unpopular viewpoint. Certainly where there is no finding and no showing that engaging in the forbidden conduct would “materially and substantially interfere with the requirements of appropriate discipline in the operation of the school,” the prohibition cannot be sustained.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In the present case, the District Court made no such finding, and our independent examination of the record fails to yield evidence that the school authorities had reason to anticipate that the wearing of the armbands would substantially interfere with the work of the school or impinge upon the rights of other students. . .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On the contrary, the action of the school authorities appears to have been based upon an urgent wish to avoid the controversy which might result from the expression, even by the silent symbol of armbands, of opposition to this Nation’s part in the conflagration in Vietnam. . .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It is also relevant that the school authorities did not purport to prohibit the wearing of all symbols of political or controversial significance. The record shows that students in some of the schools wore buttons relating to national political campaigns, and some even wore the Iron Cross, traditionally a symbol of Nazism. The order prohibiting the wearing of armbands did not extend to these. Instead, a particular symbol – black armbands worn to exhibit opposition to this Nation’s involvement in Vietnam – was singled out for prohibition. Clearly, the prohibition of expression of one particular opinion, at least without evidence that it is necessary to avoid material and substantial interference with schoolwork or discipline, is not constitutionally permissible.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In our system, state-operated schools may not be enclaves of totalitarianism. School officials do not possess absolute authority over their students. Students in school, as well as out of school, are “persons” under our Constitution. They are possessed of fundamental rights which the State must respect, just as they themselves must respect their obligations to the State. In our system, students may not be regarded as closed-circuit recipients of only that which the State chooses to communicate. They may not be confined to the expression of those sentiments that are officially approved. In the absence of a specific showing of constitutionally valid reasons to regulate their speech, students are entitled to freedom of expression of their views. . . .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principle of [our previous] cases is not confined to the supervised and ordained discussion which takes place in the classroom. The principal use to which the schools are dedicated is to accommodate students during prescribed hours for the purpose of certain types of activities. Among those activities is personal intercommunication among the students. This is not only an inevitable part of the process of attending school; it is also an important part of the educational process. A student’s rights, therefore, do not embrace merely the classroom hours. When he is in the cafeteria, or on the playing field, or on the campus during the authorized hours, he may express his opinions, even on controversial subjects like the conflict in Vietnam, if he does so without “materially and substantially interfer[ing] with the requirements of appropriate discipline in the operation of the school” and without colliding with the rights of others. But conduct by the student, in class or out of it, which for any reason – whether it stems from time, place, or type of behavior – materially disrupts classwork or involves substantial disorder or invasion of the rights of others is, of course, not immunized by the constitutional guarantee of freedom of speech.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Under our Constitution, free speech is not a right that is given only to be so circumscribed that it exists in principle, but not in fact. Freedom of expression would not truly exist if the right could be exercised only in an area that a benevolent government has provided as a safe haven for crackpots. The Constitution says that Congress (and the States) may not abridge the right to free speech. This provision means what it says. We properly read it to permit reasonable regulation of speech-connected activities in carefully restricted circumstances. But we do not confine the permissible exercise of First Amendment rights to a telephone booth or the four corners of a pamphlet, or to supervised and ordained discussion in a school classroom.</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If a regulation were adopted by school officials forbidding discussion of the Vietnam conflict, or the expression by any student of opposition to it anywhere on school property except as part of a prescribed classroom exercise, it would be obvious that the regulation would violate the constitutional rights of students, at least if it could not be justified by a showing that the students’ activities would materially and substantially disrupt the work and discipline of the school.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In the circumstances of the present case, the prohibition of the silent, passive “witness of the armbands,” as one of the children called it, is no less offensive to the Constitution’s guarantees.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As we have discussed, the record does not demonstrate any facts which might reasonably have led school authorities to forecast substantial disruption of or material interference with school activities, and no disturbances or disorders on the school premises in fact occurred. These petitioners merely went about their ordained rounds in school. Their deviation consisted only in wearing on their sleeve a band of black cloth, not more than two inches wide. They wore it to exhibit their disapproval of the Vietnam hostilities and their advocacy of a truce, to make their views known, and, by their example, to influence others to adopt them. They neither interrupted school activities nor sought to intrude in the school affairs or the lives of others. They caused discussion outside of the classrooms, but no interference with work and no disorder. In the circumstances, our Constitution does not permit officials of the State to deny their form of expression.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u w:val="single"/>
          <w:rtl w:val="0"/>
        </w:rPr>
        <w:t xml:space="preserve">Excerpt</w:t>
      </w:r>
      <w:r w:rsidDel="00000000" w:rsidR="00000000" w:rsidRPr="00000000">
        <w:rPr>
          <w:b w:val="1"/>
          <w:rtl w:val="0"/>
        </w:rPr>
        <w:t xml:space="preserve">: Dissent, Justice Black</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Court’s holding in this case ushers in what I deem to be an entirely new era in which the power to control pupils by the elected “officials of state supported public schools . . .” in the United States is in ultimate effect transferred to the Supreme Court. The Court brought this particular case here on a petition for certiorari urging that the First and Fourteenth Amendments protect the right of school pupils to express their political views all the way “from kindergarten through high school.” Here, the constitutional right to “political expression” asserted was a right to wear black armbands during school hours and at classes in order to demonstrate to the other students that the petitioners were mourning because of the death of United States soldiers in Vietnam and to protest that war which they were against. Ordered to refrain from wearing the armbands in school by the elected school officials and the teachers vested with state authority to do so, apparently only seven out of the school system’s 18,000 pupils deliberately refused to obey the order. . .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Assuming that the Court is correct in holding that the conduct of wearing armbands for the purpose of conveying political ideas is protected by the First Amendment, . . . the crucial remaining questions are whether students and teachers may use the schools at their whim as a platform for the exercise of free speech – “symbolic” or “pure” – and whether the courts will allocate to themselves the function of deciding how the pupils’ school day will be spent. While I have always believed that, under the First and Fourteenth Amendments, neither the State nor the Federal Government has any authority to regulate or censor the content of speech, I have never believed that any person has a right to give speeches or engage in demonstrations where he pleases and when he pleases. This Court has already rejected such a notion. . .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While the record does not show that any of these armband students shouted, used profane language, or were violent in any manner, detailed testimony by some of them shows their armbands caused comments, warnings by other students, the poking of fun at them, and a warning by an older football player that other nonprotesting students had better let them alone. There is also evidence that a teacher of mathematics had his lesson period practically “wrecked,” chiefly by disputes with Mary Beth Tinker, who wore her armband for her “demonstration.” </w:t>
      </w:r>
    </w:p>
    <w:p w:rsidR="00000000" w:rsidDel="00000000" w:rsidP="00000000" w:rsidRDefault="00000000" w:rsidRPr="00000000" w14:paraId="0000003F">
      <w:pPr>
        <w:rPr/>
      </w:pPr>
      <w:r w:rsidDel="00000000" w:rsidR="00000000" w:rsidRPr="00000000">
        <w:rPr>
          <w:rtl w:val="0"/>
        </w:rPr>
        <w:t xml:space="preserve">Even a casual reading of the record shows that this armband did divert students’ minds from their regular lessons, and that talk, comments, etc., made John Tinker “self-conscious” in attending school with his armband. While the absence of obscene remarks or boisterous and loud disorder perhaps justifies the Court’s statement that the few armband students did not actually “disrupt” the classwork, I think the record overwhelmingly shows that the armbands did exactly what the elected school officials and principals foresaw they would, that is, took the students’ minds off their classwork and diverted them to thoughts about the highly emotional subject of the Vietnam war. And I repeat that, if the time has come when pupils of state-supported schools, kindergartens, grammar schools, or high schools, can defy and flout orders of school officials to keep their minds on their own schoolwork, it is the beginning of a new revolutionary era of permissiveness in this country fostered by the judiciary. . .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truth is that a teacher of kindergarten, grammar school, or high school pupils no more carries into a school with him a complete right to freedom of speech and expression than an anti-Catholic or anti-Semite carries with him a complete freedom of speech and religion into a Catholic church or Jewish synagogue. Nor does a person carry with him into the United States Senate or House, or into the Supreme Court, or any other court, a complete constitutional right to go into those places contrary to their rules and speak his mind on any subject he pleases. It is a myth to say that any person has a constitutional right to say what he pleases, where he pleases, and when he pleases. Our Court has decided precisely the opposite. . . .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In my view, teachers in state-controlled public schools are hired to teach there. . . . [A] teacher is not paid to go into school and teach subjects the State does not hire him to teach as a part of its selected curriculum. Nor are public school students sent to the schools at public expense to broadcast political or any other views to educate and inform the public. The original idea of schools, which I do not believe is yet abandoned as worthless or out of date, was that children had not yet reached the point of experience and wisdom which enabled them to teach all of their elders. It may be that the Nation has outworn the old-fashioned slogan that “children are to be seen, not heard,” but one may, I hope, be permitted to harbor the thought that taxpayers send children to school on the premise that, at their age, they need to learn, not teach. . .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[E]ven if the record were silent as to protests against the Vietnam war distracting students from their assigned class work, members of this Court, like all other citizens, know, without being told, that the disputes over the wisdom of the Vietnam war have disrupted and divided this country as few other issues ever have. Of course, students, like other people, cannot concentrate on lesser issues when black armbands are being ostentatiously displayed in their presence to call attention to the wounded and dead of the war, some of the wounded and the dead being their friends and neighbors. It was, of course, to distract the attention of other students that some students insisted up to the very point of their own suspension from school that they were determined to sit in school with their symbolic armbands.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Change has been said to be truly the law of life, but sometimes the old and the tried and true are worth holding. The schools of this Nation have undoubtedly contributed to giving us tranquility and to making us a more law-abiding people. Uncontrolled and uncontrollable liberty is an enemy to domestic peace. We cannot close our eyes to the fact that some of the country’s greatest problems are crimes committed by the youth, too many of school age. School discipline, like parental discipline, is an integral and important part of training our children to be good citizens – to be better citizens. Here a very small number of students have crisply and summarily refused to obey a school order designed to give pupils who want to learn the opportunity to do so. One does not need to be a prophet or the son of a prophet to know that, after the Court’s holding today, some students in Iowa schools – and, indeed, in all schools – will be ready, able, and willing to defy their teachers on practically all orders. This is the more unfortunate for the schools since groups of students all over the land are already running loose, conducting break-ins, sit-ins, lie-ins, and smash-ins. Many of these student groups, as is all too familiar to all who read the newspapers and watch the television news programs, have already engaged in rioting, property seizures, and destruction. They have picketed schools to force students not to cross their picket lines, and have too often violently attacked earnest but frightened students who wanted an education that the pickets did not want them to get. Students engaged in such activities are apparently confident that they know far more about how to operate public school systems than do their parents, teachers, and elected school officials. It is no answer to say that the particular students here have not yet reached such high points in their demands to attend classes in order to exercise their political pressures. Turned loose with lawsuits for damages and injunctions against their teachers as they are here, it is nothing but wishful thinking to imagine that young, immature students will not soon believe it is their right to control the schools, rather than the right of the States that collect the taxes to hire the teachers for the benefit of the pupils. This case, therefore, wholly without constitutional reasons, in my judgment, subjects all the public schools in the country to the whims and caprices of their loudest-mouthed, but maybe not their brightest, students. I, for one, am not fully persuaded that school pupils are wise enough, even with this Court’s expert help from Washington, to run the 23,390 public school systems in our 50 States. I wish, therefore, wholly to disclaim any purpose on my part to hold that the Federal Constitution compels the teachers, parents, and elected school officials to surrender control of the American public school system to public school students. I dissent.</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49">
    <w:pPr>
      <w:spacing w:line="240" w:lineRule="auto"/>
      <w:rPr>
        <w:color w:val="002169"/>
      </w:rPr>
    </w:pPr>
    <w:r w:rsidDel="00000000" w:rsidR="00000000" w:rsidRPr="00000000">
      <w:rPr>
        <w:color w:val="002169"/>
        <w:rtl w:val="0"/>
      </w:rPr>
      <w:t xml:space="preserve">Module 9: The Judicial System and Current Cases</w:t>
    </w:r>
  </w:p>
  <w:p w:rsidR="00000000" w:rsidDel="00000000" w:rsidP="00000000" w:rsidRDefault="00000000" w:rsidRPr="00000000" w14:paraId="0000004A">
    <w:pPr>
      <w:spacing w:line="240" w:lineRule="auto"/>
      <w:rPr/>
    </w:pPr>
    <w:r w:rsidDel="00000000" w:rsidR="00000000" w:rsidRPr="00000000">
      <w:rPr>
        <w:color w:val="002169"/>
        <w:rtl w:val="0"/>
      </w:rPr>
      <w:t xml:space="preserve">9.5 Primary Source</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stitutioncenter.org/the-constitution/supreme-court-case-library/tinker-v-des-moines-independent-community-school-district" TargetMode="External"/><Relationship Id="rId7" Type="http://schemas.openxmlformats.org/officeDocument/2006/relationships/hyperlink" Target="https://supreme.justia.com/cases/federal/us/393/503/#tab-opinion-1947774"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