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79" w:rsidRDefault="00C25B6C">
      <w:pPr>
        <w:tabs>
          <w:tab w:val="center" w:pos="4680"/>
          <w:tab w:val="right" w:pos="9360"/>
        </w:tabs>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104776</wp:posOffset>
            </wp:positionH>
            <wp:positionV relativeFrom="paragraph">
              <wp:posOffset>76200</wp:posOffset>
            </wp:positionV>
            <wp:extent cx="1044360" cy="10443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44360" cy="1044360"/>
                    </a:xfrm>
                    <a:prstGeom prst="rect">
                      <a:avLst/>
                    </a:prstGeom>
                    <a:ln/>
                  </pic:spPr>
                </pic:pic>
              </a:graphicData>
            </a:graphic>
          </wp:anchor>
        </w:drawing>
      </w:r>
    </w:p>
    <w:p w:rsidR="00FF3479" w:rsidRDefault="00C25B6C">
      <w:pPr>
        <w:tabs>
          <w:tab w:val="center" w:pos="4680"/>
          <w:tab w:val="right" w:pos="9360"/>
        </w:tabs>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Scholar Exchange: First Amendment – Speech and Press </w:t>
      </w:r>
    </w:p>
    <w:p w:rsidR="00FF3479" w:rsidRDefault="00C25B6C">
      <w:pPr>
        <w:spacing w:line="240" w:lineRule="auto"/>
        <w:ind w:firstLine="240"/>
        <w:rPr>
          <w:rFonts w:ascii="Calibri" w:eastAsia="Calibri" w:hAnsi="Calibri" w:cs="Calibri"/>
          <w:b/>
          <w:color w:val="002060"/>
          <w:sz w:val="52"/>
          <w:szCs w:val="52"/>
        </w:rPr>
      </w:pPr>
      <w:r>
        <w:rPr>
          <w:rFonts w:ascii="Calibri" w:eastAsia="Calibri" w:hAnsi="Calibri" w:cs="Calibri"/>
          <w:b/>
          <w:color w:val="002060"/>
          <w:sz w:val="52"/>
          <w:szCs w:val="52"/>
        </w:rPr>
        <w:t xml:space="preserve">Advanced Level Class Outline and </w:t>
      </w:r>
    </w:p>
    <w:p w:rsidR="00FF3479" w:rsidRDefault="00C25B6C">
      <w:pPr>
        <w:spacing w:line="240" w:lineRule="auto"/>
        <w:ind w:firstLine="240"/>
        <w:rPr>
          <w:rFonts w:ascii="Calibri" w:eastAsia="Calibri" w:hAnsi="Calibri" w:cs="Calibri"/>
          <w:b/>
          <w:color w:val="002060"/>
          <w:sz w:val="52"/>
          <w:szCs w:val="52"/>
        </w:rPr>
      </w:pPr>
      <w:r>
        <w:rPr>
          <w:rFonts w:ascii="Calibri" w:eastAsia="Calibri" w:hAnsi="Calibri" w:cs="Calibri"/>
          <w:b/>
          <w:color w:val="002060"/>
          <w:sz w:val="52"/>
          <w:szCs w:val="52"/>
        </w:rPr>
        <w:t>Worksheet</w:t>
      </w:r>
    </w:p>
    <w:p w:rsidR="00FF3479" w:rsidRDefault="00FF3479">
      <w:pPr>
        <w:spacing w:line="240" w:lineRule="auto"/>
        <w:ind w:firstLine="240"/>
        <w:rPr>
          <w:rFonts w:ascii="Calibri" w:eastAsia="Calibri" w:hAnsi="Calibri" w:cs="Calibri"/>
          <w:b/>
          <w:color w:val="002060"/>
          <w:sz w:val="24"/>
          <w:szCs w:val="24"/>
        </w:rPr>
      </w:pPr>
    </w:p>
    <w:p w:rsidR="00FF3479" w:rsidRDefault="00FF3479">
      <w:pPr>
        <w:spacing w:line="240" w:lineRule="auto"/>
        <w:rPr>
          <w:rFonts w:ascii="Calibri" w:eastAsia="Calibri" w:hAnsi="Calibri" w:cs="Calibri"/>
          <w:b/>
          <w:color w:val="002060"/>
          <w:sz w:val="24"/>
          <w:szCs w:val="24"/>
        </w:rPr>
      </w:pPr>
    </w:p>
    <w:p w:rsidR="00FF3479" w:rsidRDefault="00C25B6C">
      <w:pPr>
        <w:pBdr>
          <w:bottom w:val="single" w:sz="4" w:space="1" w:color="0070C0"/>
        </w:pBdr>
        <w:spacing w:line="240" w:lineRule="auto"/>
        <w:rPr>
          <w:rFonts w:ascii="Calibri" w:eastAsia="Calibri" w:hAnsi="Calibri" w:cs="Calibri"/>
          <w:b/>
          <w:smallCaps/>
          <w:color w:val="0070C0"/>
        </w:rPr>
      </w:pPr>
      <w:bookmarkStart w:id="0" w:name="_Hlk126074610"/>
      <w:r>
        <w:rPr>
          <w:rFonts w:ascii="Calibri" w:eastAsia="Calibri" w:hAnsi="Calibri" w:cs="Calibri"/>
          <w:b/>
          <w:smallCaps/>
          <w:color w:val="0070C0"/>
        </w:rPr>
        <w:t>OVERVIEW</w:t>
      </w:r>
    </w:p>
    <w:p w:rsidR="00FF3479" w:rsidRDefault="00FF3479">
      <w:pPr>
        <w:spacing w:line="240" w:lineRule="auto"/>
        <w:rPr>
          <w:rFonts w:ascii="Calibri" w:eastAsia="Calibri" w:hAnsi="Calibri" w:cs="Calibri"/>
          <w:smallCaps/>
          <w:color w:val="0070C0"/>
        </w:rPr>
      </w:pPr>
    </w:p>
    <w:p w:rsidR="00FF3479" w:rsidRDefault="00C25B6C">
      <w:pPr>
        <w:spacing w:line="240" w:lineRule="auto"/>
        <w:rPr>
          <w:rFonts w:ascii="Calibri" w:eastAsia="Calibri" w:hAnsi="Calibri" w:cs="Calibri"/>
          <w:b/>
          <w:color w:val="0070C0"/>
        </w:rPr>
      </w:pPr>
      <w:r>
        <w:rPr>
          <w:rFonts w:ascii="Calibri" w:eastAsia="Calibri" w:hAnsi="Calibri" w:cs="Calibri"/>
          <w:b/>
          <w:color w:val="0070C0"/>
        </w:rPr>
        <w:t>Part I. Introduction to the Free Speech and Press Clauses</w:t>
      </w:r>
    </w:p>
    <w:p w:rsidR="0018446E" w:rsidRDefault="00C25B6C">
      <w:pPr>
        <w:spacing w:line="240" w:lineRule="auto"/>
        <w:rPr>
          <w:rFonts w:ascii="Calibri" w:eastAsia="Calibri" w:hAnsi="Calibri" w:cs="Calibri"/>
          <w:b/>
          <w:color w:val="0070C0"/>
        </w:rPr>
      </w:pPr>
      <w:r>
        <w:rPr>
          <w:rFonts w:ascii="Calibri" w:eastAsia="Calibri" w:hAnsi="Calibri" w:cs="Calibri"/>
          <w:b/>
          <w:color w:val="0070C0"/>
        </w:rPr>
        <w:t>Part II. Speaking Out Against the English Government</w:t>
      </w:r>
      <w:r>
        <w:rPr>
          <w:rFonts w:ascii="Calibri" w:eastAsia="Calibri" w:hAnsi="Calibri" w:cs="Calibri"/>
          <w:b/>
          <w:color w:val="0070C0"/>
        </w:rPr>
        <w:br/>
      </w:r>
      <w:r>
        <w:rPr>
          <w:rFonts w:ascii="Calibri" w:eastAsia="Calibri" w:hAnsi="Calibri" w:cs="Calibri"/>
          <w:b/>
          <w:color w:val="0070C0"/>
        </w:rPr>
        <w:t xml:space="preserve">Part III. </w:t>
      </w:r>
      <w:r w:rsidR="0018446E">
        <w:rPr>
          <w:rFonts w:ascii="Calibri" w:eastAsia="Calibri" w:hAnsi="Calibri" w:cs="Calibri"/>
          <w:b/>
          <w:color w:val="0070C0"/>
        </w:rPr>
        <w:t xml:space="preserve">Founding Stories </w:t>
      </w:r>
    </w:p>
    <w:p w:rsidR="00FF3479" w:rsidRPr="0018446E" w:rsidRDefault="00C25B6C" w:rsidP="0018446E">
      <w:pPr>
        <w:pStyle w:val="ListParagraph"/>
        <w:numPr>
          <w:ilvl w:val="0"/>
          <w:numId w:val="3"/>
        </w:numPr>
        <w:spacing w:line="240" w:lineRule="auto"/>
        <w:rPr>
          <w:rFonts w:ascii="Calibri" w:eastAsia="Calibri" w:hAnsi="Calibri" w:cs="Calibri"/>
          <w:b/>
          <w:color w:val="0070C0"/>
        </w:rPr>
      </w:pPr>
      <w:r w:rsidRPr="0018446E">
        <w:rPr>
          <w:rFonts w:ascii="Calibri" w:eastAsia="Calibri" w:hAnsi="Calibri" w:cs="Calibri"/>
          <w:b/>
          <w:color w:val="0070C0"/>
        </w:rPr>
        <w:t>Alien and Sedition Acts (1798): First Major Test of Free Speech</w:t>
      </w:r>
    </w:p>
    <w:p w:rsidR="0018446E" w:rsidRPr="0018446E" w:rsidRDefault="0018446E" w:rsidP="0018446E">
      <w:pPr>
        <w:pStyle w:val="ListParagraph"/>
        <w:numPr>
          <w:ilvl w:val="0"/>
          <w:numId w:val="3"/>
        </w:numPr>
        <w:spacing w:line="240" w:lineRule="auto"/>
        <w:rPr>
          <w:rFonts w:ascii="Calibri" w:eastAsia="Calibri" w:hAnsi="Calibri" w:cs="Calibri"/>
          <w:b/>
          <w:color w:val="0070C0"/>
        </w:rPr>
      </w:pPr>
      <w:r w:rsidRPr="0018446E">
        <w:rPr>
          <w:rFonts w:ascii="Calibri" w:eastAsia="Calibri" w:hAnsi="Calibri" w:cs="Calibri"/>
          <w:b/>
          <w:color w:val="0070C0"/>
        </w:rPr>
        <w:t>Free Speech and Abolitionist</w:t>
      </w:r>
    </w:p>
    <w:p w:rsidR="00FF3479" w:rsidRPr="0018446E" w:rsidRDefault="00C25B6C" w:rsidP="0018446E">
      <w:pPr>
        <w:pStyle w:val="ListParagraph"/>
        <w:numPr>
          <w:ilvl w:val="0"/>
          <w:numId w:val="3"/>
        </w:numPr>
        <w:spacing w:line="240" w:lineRule="auto"/>
        <w:rPr>
          <w:rFonts w:ascii="Calibri" w:eastAsia="Calibri" w:hAnsi="Calibri" w:cs="Calibri"/>
          <w:b/>
          <w:color w:val="0070C0"/>
        </w:rPr>
      </w:pPr>
      <w:r w:rsidRPr="0018446E">
        <w:rPr>
          <w:rFonts w:ascii="Calibri" w:eastAsia="Calibri" w:hAnsi="Calibri" w:cs="Calibri"/>
          <w:b/>
          <w:color w:val="0070C0"/>
        </w:rPr>
        <w:t>World War I (1910s) and the Supreme Court</w:t>
      </w:r>
    </w:p>
    <w:p w:rsidR="0018446E" w:rsidRPr="0018446E" w:rsidRDefault="0018446E" w:rsidP="0018446E">
      <w:pPr>
        <w:pStyle w:val="ListParagraph"/>
        <w:numPr>
          <w:ilvl w:val="0"/>
          <w:numId w:val="3"/>
        </w:numPr>
        <w:spacing w:line="240" w:lineRule="auto"/>
        <w:rPr>
          <w:rFonts w:ascii="Calibri" w:eastAsia="Calibri" w:hAnsi="Calibri" w:cs="Calibri"/>
          <w:b/>
          <w:color w:val="0070C0"/>
        </w:rPr>
      </w:pPr>
      <w:r w:rsidRPr="0018446E">
        <w:rPr>
          <w:rFonts w:ascii="Calibri" w:eastAsia="Calibri" w:hAnsi="Calibri" w:cs="Calibri"/>
          <w:b/>
          <w:i/>
          <w:color w:val="0070C0"/>
        </w:rPr>
        <w:t>New York Times v. Sullivan</w:t>
      </w:r>
      <w:r w:rsidRPr="0018446E">
        <w:rPr>
          <w:rFonts w:ascii="Calibri" w:eastAsia="Calibri" w:hAnsi="Calibri" w:cs="Calibri"/>
          <w:b/>
          <w:color w:val="0070C0"/>
        </w:rPr>
        <w:t xml:space="preserve"> and the Civil Rights Movement</w:t>
      </w:r>
    </w:p>
    <w:p w:rsidR="0018446E" w:rsidRDefault="0018446E">
      <w:pPr>
        <w:spacing w:line="240" w:lineRule="auto"/>
        <w:rPr>
          <w:rFonts w:ascii="Calibri" w:eastAsia="Calibri" w:hAnsi="Calibri" w:cs="Calibri"/>
          <w:b/>
          <w:color w:val="0070C0"/>
        </w:rPr>
      </w:pPr>
      <w:r>
        <w:rPr>
          <w:rFonts w:ascii="Calibri" w:eastAsia="Calibri" w:hAnsi="Calibri" w:cs="Calibri"/>
          <w:b/>
          <w:color w:val="0070C0"/>
        </w:rPr>
        <w:t>Part IV: Free Speech Today</w:t>
      </w:r>
    </w:p>
    <w:p w:rsidR="00FF3479" w:rsidRDefault="00C25B6C">
      <w:pPr>
        <w:spacing w:line="240" w:lineRule="auto"/>
        <w:rPr>
          <w:rFonts w:ascii="Calibri" w:eastAsia="Calibri" w:hAnsi="Calibri" w:cs="Calibri"/>
          <w:b/>
          <w:color w:val="0070C0"/>
        </w:rPr>
      </w:pPr>
      <w:r>
        <w:rPr>
          <w:rFonts w:ascii="Calibri" w:eastAsia="Calibri" w:hAnsi="Calibri" w:cs="Calibri"/>
          <w:b/>
          <w:color w:val="0070C0"/>
        </w:rPr>
        <w:t>Part V</w:t>
      </w:r>
      <w:r>
        <w:rPr>
          <w:rFonts w:ascii="Calibri" w:eastAsia="Calibri" w:hAnsi="Calibri" w:cs="Calibri"/>
          <w:b/>
          <w:color w:val="0070C0"/>
        </w:rPr>
        <w:t xml:space="preserve">. Free Speech in </w:t>
      </w:r>
      <w:r>
        <w:rPr>
          <w:rFonts w:ascii="Calibri" w:eastAsia="Calibri" w:hAnsi="Calibri" w:cs="Calibri"/>
          <w:b/>
          <w:color w:val="0070C0"/>
        </w:rPr>
        <w:t>Public</w:t>
      </w:r>
      <w:r>
        <w:rPr>
          <w:rFonts w:ascii="Calibri" w:eastAsia="Calibri" w:hAnsi="Calibri" w:cs="Calibri"/>
          <w:b/>
          <w:color w:val="0070C0"/>
        </w:rPr>
        <w:t xml:space="preserve"> Schools</w:t>
      </w:r>
    </w:p>
    <w:p w:rsidR="00FF3479" w:rsidRDefault="00FF3479">
      <w:pPr>
        <w:spacing w:line="240" w:lineRule="auto"/>
        <w:rPr>
          <w:rFonts w:ascii="Calibri" w:eastAsia="Calibri" w:hAnsi="Calibri" w:cs="Calibri"/>
          <w:b/>
          <w:smallCaps/>
          <w:color w:val="0070C0"/>
        </w:rPr>
      </w:pPr>
    </w:p>
    <w:p w:rsidR="00FF3479" w:rsidRDefault="00C25B6C">
      <w:pPr>
        <w:pBdr>
          <w:bottom w:val="single" w:sz="4" w:space="1" w:color="0070C0"/>
        </w:pBdr>
        <w:spacing w:line="240" w:lineRule="auto"/>
        <w:rPr>
          <w:rFonts w:ascii="Times New Roman" w:eastAsia="Times New Roman" w:hAnsi="Times New Roman" w:cs="Times New Roman"/>
        </w:rPr>
      </w:pPr>
      <w:r>
        <w:rPr>
          <w:rFonts w:ascii="Calibri" w:eastAsia="Calibri" w:hAnsi="Calibri" w:cs="Calibri"/>
          <w:b/>
          <w:smallCaps/>
          <w:color w:val="0070C0"/>
        </w:rPr>
        <w:t>INTERACTIVE CONSTITUTION RESOURCES </w:t>
      </w:r>
    </w:p>
    <w:p w:rsidR="00FF3479" w:rsidRDefault="00FF3479">
      <w:pPr>
        <w:spacing w:line="240" w:lineRule="auto"/>
        <w:rPr>
          <w:rFonts w:ascii="Times New Roman" w:eastAsia="Times New Roman" w:hAnsi="Times New Roman" w:cs="Times New Roman"/>
        </w:rPr>
      </w:pPr>
    </w:p>
    <w:p w:rsidR="00FF3479" w:rsidRPr="0018446E" w:rsidRDefault="0018446E">
      <w:pPr>
        <w:numPr>
          <w:ilvl w:val="0"/>
          <w:numId w:val="2"/>
        </w:numPr>
        <w:spacing w:line="240" w:lineRule="auto"/>
        <w:rPr>
          <w:rFonts w:asciiTheme="majorHAnsi" w:hAnsiTheme="majorHAnsi" w:cstheme="majorHAnsi"/>
        </w:rPr>
      </w:pPr>
      <w:hyperlink r:id="rId8" w:history="1">
        <w:r w:rsidR="00C25B6C" w:rsidRPr="0018446E">
          <w:rPr>
            <w:rStyle w:val="Hyperlink"/>
            <w:rFonts w:asciiTheme="majorHAnsi" w:eastAsia="Calibri" w:hAnsiTheme="majorHAnsi" w:cstheme="majorHAnsi"/>
          </w:rPr>
          <w:t xml:space="preserve">Resources for the First Amendment </w:t>
        </w:r>
        <w:r w:rsidRPr="0018446E">
          <w:rPr>
            <w:rStyle w:val="Hyperlink"/>
            <w:rFonts w:asciiTheme="majorHAnsi" w:hAnsiTheme="majorHAnsi" w:cstheme="majorHAnsi"/>
          </w:rPr>
          <w:t>Speech and Press</w:t>
        </w:r>
      </w:hyperlink>
      <w:r w:rsidRPr="0018446E">
        <w:rPr>
          <w:rFonts w:asciiTheme="majorHAnsi" w:hAnsiTheme="majorHAnsi" w:cstheme="majorHAnsi"/>
        </w:rPr>
        <w:t xml:space="preserve"> </w:t>
      </w:r>
    </w:p>
    <w:bookmarkEnd w:id="0"/>
    <w:p w:rsidR="00FF3479" w:rsidRDefault="00FF3479">
      <w:pPr>
        <w:pBdr>
          <w:bottom w:val="single" w:sz="4" w:space="1" w:color="0070C0"/>
        </w:pBdr>
        <w:spacing w:line="240" w:lineRule="auto"/>
        <w:rPr>
          <w:rFonts w:ascii="Calibri" w:eastAsia="Calibri" w:hAnsi="Calibri" w:cs="Calibri"/>
          <w:b/>
          <w:smallCaps/>
          <w:color w:val="0070C0"/>
        </w:rPr>
      </w:pPr>
    </w:p>
    <w:p w:rsidR="00FF3479" w:rsidRDefault="00C25B6C">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 xml:space="preserve">INTRODUCTION </w:t>
      </w:r>
    </w:p>
    <w:p w:rsidR="00FF3479" w:rsidRDefault="00FF3479">
      <w:pPr>
        <w:spacing w:line="240" w:lineRule="auto"/>
        <w:ind w:left="720"/>
        <w:rPr>
          <w:rFonts w:ascii="Calibri" w:eastAsia="Calibri" w:hAnsi="Calibri" w:cs="Calibri"/>
          <w:b/>
          <w:color w:val="002060"/>
        </w:rPr>
      </w:pPr>
    </w:p>
    <w:p w:rsidR="00FF3479" w:rsidRDefault="00C25B6C" w:rsidP="0018446E">
      <w:pPr>
        <w:spacing w:line="240" w:lineRule="auto"/>
        <w:rPr>
          <w:rFonts w:ascii="Calibri" w:eastAsia="Calibri" w:hAnsi="Calibri" w:cs="Calibri"/>
          <w:b/>
          <w:color w:val="002060"/>
        </w:rPr>
      </w:pPr>
      <w:r>
        <w:rPr>
          <w:rFonts w:ascii="Calibri" w:eastAsia="Calibri" w:hAnsi="Calibri" w:cs="Calibri"/>
          <w:b/>
          <w:color w:val="002060"/>
        </w:rPr>
        <w:t>B</w:t>
      </w:r>
      <w:r>
        <w:rPr>
          <w:rFonts w:ascii="Calibri" w:eastAsia="Calibri" w:hAnsi="Calibri" w:cs="Calibri"/>
          <w:b/>
          <w:color w:val="002060"/>
        </w:rPr>
        <w:t>ig Questions</w:t>
      </w:r>
    </w:p>
    <w:p w:rsidR="0018446E" w:rsidRDefault="0018446E" w:rsidP="0018446E">
      <w:pPr>
        <w:spacing w:line="240" w:lineRule="auto"/>
        <w:rPr>
          <w:rFonts w:ascii="Calibri" w:eastAsia="Calibri" w:hAnsi="Calibri" w:cs="Calibri"/>
          <w:b/>
        </w:rPr>
      </w:pPr>
    </w:p>
    <w:p w:rsidR="00FF3479" w:rsidRDefault="00C25B6C">
      <w:pPr>
        <w:numPr>
          <w:ilvl w:val="0"/>
          <w:numId w:val="1"/>
        </w:numPr>
        <w:spacing w:line="240" w:lineRule="auto"/>
      </w:pPr>
      <w:r>
        <w:rPr>
          <w:rFonts w:ascii="Calibri" w:eastAsia="Calibri" w:hAnsi="Calibri" w:cs="Calibri"/>
        </w:rPr>
        <w:t xml:space="preserve">What was the Founding generation’s vision for the </w:t>
      </w:r>
      <w:hyperlink r:id="rId9">
        <w:r>
          <w:rPr>
            <w:rFonts w:ascii="Calibri" w:eastAsia="Calibri" w:hAnsi="Calibri" w:cs="Calibri"/>
            <w:color w:val="0563C1"/>
            <w:u w:val="single"/>
          </w:rPr>
          <w:t>First Amendment</w:t>
        </w:r>
      </w:hyperlink>
      <w:r>
        <w:rPr>
          <w:rFonts w:ascii="Calibri" w:eastAsia="Calibri" w:hAnsi="Calibri" w:cs="Calibri"/>
        </w:rPr>
        <w:t>’s protection of free speech and a free press?</w:t>
      </w:r>
    </w:p>
    <w:p w:rsidR="00FF3479" w:rsidRDefault="00C25B6C">
      <w:pPr>
        <w:numPr>
          <w:ilvl w:val="0"/>
          <w:numId w:val="1"/>
        </w:numPr>
        <w:spacing w:line="240" w:lineRule="auto"/>
      </w:pPr>
      <w:r>
        <w:rPr>
          <w:rFonts w:ascii="Calibri" w:eastAsia="Calibri" w:hAnsi="Calibri" w:cs="Calibri"/>
        </w:rPr>
        <w:t>What are some of the key periods in history that have tested the nation’s commitment to free speech?</w:t>
      </w:r>
    </w:p>
    <w:p w:rsidR="00FF3479" w:rsidRDefault="00C25B6C">
      <w:pPr>
        <w:numPr>
          <w:ilvl w:val="0"/>
          <w:numId w:val="1"/>
        </w:numPr>
        <w:spacing w:line="240" w:lineRule="auto"/>
      </w:pPr>
      <w:r>
        <w:rPr>
          <w:rFonts w:ascii="Calibri" w:eastAsia="Calibri" w:hAnsi="Calibri" w:cs="Calibri"/>
        </w:rPr>
        <w:t>How has the Supreme Court interpreted the First Amendment’s commitment to free speech and a free press over time?</w:t>
      </w:r>
    </w:p>
    <w:p w:rsidR="00FF3479" w:rsidRDefault="00C25B6C">
      <w:pPr>
        <w:numPr>
          <w:ilvl w:val="0"/>
          <w:numId w:val="1"/>
        </w:numPr>
        <w:spacing w:line="240" w:lineRule="auto"/>
      </w:pPr>
      <w:r>
        <w:rPr>
          <w:rFonts w:ascii="Calibri" w:eastAsia="Calibri" w:hAnsi="Calibri" w:cs="Calibri"/>
        </w:rPr>
        <w:t>How does the Supreme Court analyze free speech and free press cases today?</w:t>
      </w:r>
    </w:p>
    <w:p w:rsidR="00FF3479" w:rsidRDefault="00FF3479">
      <w:pPr>
        <w:spacing w:line="240" w:lineRule="auto"/>
        <w:rPr>
          <w:rFonts w:ascii="Calibri" w:eastAsia="Calibri" w:hAnsi="Calibri" w:cs="Calibri"/>
        </w:rPr>
      </w:pPr>
    </w:p>
    <w:p w:rsidR="00FF3479" w:rsidRDefault="00C25B6C">
      <w:pPr>
        <w:spacing w:line="240" w:lineRule="auto"/>
        <w:rPr>
          <w:rFonts w:ascii="Calibri" w:eastAsia="Calibri" w:hAnsi="Calibri" w:cs="Calibri"/>
          <w:b/>
          <w:color w:val="002060"/>
        </w:rPr>
      </w:pPr>
      <w:r>
        <w:rPr>
          <w:rFonts w:ascii="Calibri" w:eastAsia="Calibri" w:hAnsi="Calibri" w:cs="Calibri"/>
          <w:b/>
          <w:color w:val="002060"/>
        </w:rPr>
        <w:t>Big Idea</w:t>
      </w:r>
    </w:p>
    <w:p w:rsidR="00FF3479" w:rsidRDefault="00C25B6C">
      <w:pPr>
        <w:spacing w:line="240" w:lineRule="auto"/>
        <w:rPr>
          <w:rFonts w:ascii="Calibri" w:eastAsia="Calibri" w:hAnsi="Calibri" w:cs="Calibri"/>
        </w:rPr>
      </w:pPr>
      <w:r>
        <w:rPr>
          <w:rFonts w:ascii="Calibri" w:eastAsia="Calibri" w:hAnsi="Calibri" w:cs="Calibri"/>
        </w:rPr>
        <w:t>Today, the Supreme Court protects free speech rights more strongly than at any time in our nation’s history—and American free speech protections are among the strongest in</w:t>
      </w:r>
      <w:r>
        <w:rPr>
          <w:rFonts w:ascii="Calibri" w:eastAsia="Calibri" w:hAnsi="Calibri" w:cs="Calibri"/>
        </w:rPr>
        <w:t xml:space="preserve"> the world. Generally speaking, the government may not jail, fine, or punish people or organizations based on what they say or write, and the Court protects speech unless it is likely to cause immediate lawless action. (A standard rarely met in practice). </w:t>
      </w:r>
      <w:r>
        <w:rPr>
          <w:rFonts w:ascii="Calibri" w:eastAsia="Calibri" w:hAnsi="Calibri" w:cs="Calibri"/>
        </w:rPr>
        <w:t xml:space="preserve">At the same time, there are certain contexts when the government has more leeway to regulate speech—for instance, with low-value speech like defamation or when speakers (like public school students) have a special relationship with the government. </w:t>
      </w:r>
      <w:r>
        <w:br w:type="page"/>
      </w:r>
    </w:p>
    <w:p w:rsidR="00FF3479" w:rsidRDefault="00C25B6C">
      <w:pPr>
        <w:spacing w:line="240" w:lineRule="auto"/>
        <w:rPr>
          <w:rFonts w:ascii="Calibri" w:eastAsia="Calibri" w:hAnsi="Calibri" w:cs="Calibri"/>
          <w:color w:val="002060"/>
          <w:sz w:val="28"/>
          <w:szCs w:val="28"/>
        </w:rPr>
      </w:pPr>
      <w:r>
        <w:rPr>
          <w:rFonts w:ascii="Calibri" w:eastAsia="Calibri" w:hAnsi="Calibri" w:cs="Calibri"/>
          <w:b/>
          <w:color w:val="002060"/>
          <w:sz w:val="28"/>
          <w:szCs w:val="28"/>
        </w:rPr>
        <w:lastRenderedPageBreak/>
        <w:t>FIRST AMENDMENT TEXT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F3479">
        <w:trPr>
          <w:trHeight w:val="480"/>
        </w:trPr>
        <w:tc>
          <w:tcPr>
            <w:tcW w:w="10800" w:type="dxa"/>
            <w:gridSpan w:val="2"/>
            <w:shd w:val="clear" w:color="auto" w:fill="B6D7A8"/>
            <w:tcMar>
              <w:top w:w="100" w:type="dxa"/>
              <w:left w:w="100" w:type="dxa"/>
              <w:bottom w:w="100" w:type="dxa"/>
              <w:right w:w="100" w:type="dxa"/>
            </w:tcMar>
          </w:tcPr>
          <w:p w:rsidR="00FF3479" w:rsidRDefault="00C25B6C">
            <w:pPr>
              <w:widowControl w:val="0"/>
              <w:spacing w:line="240" w:lineRule="auto"/>
              <w:jc w:val="center"/>
              <w:rPr>
                <w:rFonts w:ascii="Calibri" w:eastAsia="Calibri" w:hAnsi="Calibri" w:cs="Calibri"/>
                <w:color w:val="002060"/>
                <w:sz w:val="34"/>
                <w:szCs w:val="34"/>
              </w:rPr>
            </w:pPr>
            <w:r>
              <w:rPr>
                <w:rFonts w:ascii="Calibri" w:eastAsia="Calibri" w:hAnsi="Calibri" w:cs="Calibri"/>
                <w:b/>
                <w:color w:val="002060"/>
                <w:sz w:val="28"/>
                <w:szCs w:val="28"/>
              </w:rPr>
              <w:t xml:space="preserve"> “Congress shall make no law . . . abridging the freedom of speech, or of the press…”</w:t>
            </w:r>
          </w:p>
        </w:tc>
      </w:tr>
      <w:tr w:rsidR="00FF3479">
        <w:tc>
          <w:tcPr>
            <w:tcW w:w="5400" w:type="dxa"/>
            <w:shd w:val="clear" w:color="auto" w:fill="D9EAD3"/>
            <w:tcMar>
              <w:top w:w="100" w:type="dxa"/>
              <w:left w:w="100" w:type="dxa"/>
              <w:bottom w:w="100" w:type="dxa"/>
              <w:right w:w="100" w:type="dxa"/>
            </w:tcMar>
          </w:tcPr>
          <w:p w:rsidR="00FF3479" w:rsidRDefault="00C25B6C">
            <w:pPr>
              <w:widowControl w:val="0"/>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What </w:t>
            </w:r>
            <w:r>
              <w:rPr>
                <w:rFonts w:ascii="Calibri" w:eastAsia="Calibri" w:hAnsi="Calibri" w:cs="Calibri"/>
                <w:b/>
                <w:color w:val="002060"/>
                <w:sz w:val="28"/>
                <w:szCs w:val="28"/>
                <w:u w:val="single"/>
              </w:rPr>
              <w:t>is</w:t>
            </w:r>
            <w:r>
              <w:rPr>
                <w:rFonts w:ascii="Calibri" w:eastAsia="Calibri" w:hAnsi="Calibri" w:cs="Calibri"/>
                <w:b/>
                <w:color w:val="002060"/>
                <w:sz w:val="28"/>
                <w:szCs w:val="28"/>
              </w:rPr>
              <w:t xml:space="preserve"> covered?</w:t>
            </w:r>
          </w:p>
        </w:tc>
        <w:tc>
          <w:tcPr>
            <w:tcW w:w="5400" w:type="dxa"/>
            <w:shd w:val="clear" w:color="auto" w:fill="D9EAD3"/>
            <w:tcMar>
              <w:top w:w="100" w:type="dxa"/>
              <w:left w:w="100" w:type="dxa"/>
              <w:bottom w:w="100" w:type="dxa"/>
              <w:right w:w="100" w:type="dxa"/>
            </w:tcMar>
          </w:tcPr>
          <w:p w:rsidR="00FF3479" w:rsidRDefault="00C25B6C">
            <w:pPr>
              <w:widowControl w:val="0"/>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What </w:t>
            </w:r>
            <w:r>
              <w:rPr>
                <w:rFonts w:ascii="Calibri" w:eastAsia="Calibri" w:hAnsi="Calibri" w:cs="Calibri"/>
                <w:b/>
                <w:color w:val="002060"/>
                <w:sz w:val="28"/>
                <w:szCs w:val="28"/>
                <w:u w:val="single"/>
              </w:rPr>
              <w:t>is not</w:t>
            </w:r>
            <w:r>
              <w:rPr>
                <w:rFonts w:ascii="Calibri" w:eastAsia="Calibri" w:hAnsi="Calibri" w:cs="Calibri"/>
                <w:b/>
                <w:color w:val="002060"/>
                <w:sz w:val="28"/>
                <w:szCs w:val="28"/>
              </w:rPr>
              <w:t xml:space="preserve"> covered?</w:t>
            </w:r>
          </w:p>
        </w:tc>
      </w:tr>
      <w:tr w:rsidR="00FF3479">
        <w:tc>
          <w:tcPr>
            <w:tcW w:w="540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p w:rsidR="00FF3479" w:rsidRDefault="00FF3479">
            <w:pPr>
              <w:widowControl w:val="0"/>
              <w:spacing w:line="240" w:lineRule="auto"/>
              <w:rPr>
                <w:rFonts w:ascii="Calibri" w:eastAsia="Calibri" w:hAnsi="Calibri" w:cs="Calibri"/>
                <w:color w:val="002060"/>
                <w:sz w:val="28"/>
                <w:szCs w:val="28"/>
              </w:rPr>
            </w:pPr>
          </w:p>
          <w:p w:rsidR="00FF3479" w:rsidRDefault="00FF3479">
            <w:pPr>
              <w:widowControl w:val="0"/>
              <w:spacing w:line="240" w:lineRule="auto"/>
              <w:rPr>
                <w:rFonts w:ascii="Calibri" w:eastAsia="Calibri" w:hAnsi="Calibri" w:cs="Calibri"/>
                <w:color w:val="002060"/>
                <w:sz w:val="28"/>
                <w:szCs w:val="28"/>
              </w:rPr>
            </w:pPr>
          </w:p>
        </w:tc>
        <w:tc>
          <w:tcPr>
            <w:tcW w:w="540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r>
    </w:tbl>
    <w:p w:rsidR="00FF3479" w:rsidRDefault="00FF3479">
      <w:pPr>
        <w:spacing w:line="240" w:lineRule="auto"/>
        <w:rPr>
          <w:rFonts w:ascii="Calibri" w:eastAsia="Calibri" w:hAnsi="Calibri" w:cs="Calibri"/>
          <w:color w:val="002060"/>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F3479">
        <w:tc>
          <w:tcPr>
            <w:tcW w:w="5400" w:type="dxa"/>
            <w:shd w:val="clear" w:color="auto" w:fill="D9EAD3"/>
            <w:tcMar>
              <w:top w:w="100" w:type="dxa"/>
              <w:left w:w="100" w:type="dxa"/>
              <w:bottom w:w="100" w:type="dxa"/>
              <w:right w:w="100" w:type="dxa"/>
            </w:tcMar>
          </w:tcPr>
          <w:p w:rsidR="00FF3479" w:rsidRDefault="00C25B6C">
            <w:pPr>
              <w:widowControl w:val="0"/>
              <w:pBdr>
                <w:top w:val="nil"/>
                <w:left w:val="nil"/>
                <w:bottom w:val="nil"/>
                <w:right w:val="nil"/>
                <w:between w:val="nil"/>
              </w:pBdr>
              <w:spacing w:line="240" w:lineRule="auto"/>
              <w:rPr>
                <w:rFonts w:ascii="Calibri" w:eastAsia="Calibri" w:hAnsi="Calibri" w:cs="Calibri"/>
                <w:color w:val="002060"/>
                <w:sz w:val="28"/>
                <w:szCs w:val="28"/>
              </w:rPr>
            </w:pPr>
            <w:r>
              <w:rPr>
                <w:rFonts w:ascii="Calibri" w:eastAsia="Calibri" w:hAnsi="Calibri" w:cs="Calibri"/>
                <w:b/>
                <w:color w:val="002060"/>
                <w:sz w:val="28"/>
                <w:szCs w:val="28"/>
              </w:rPr>
              <w:t xml:space="preserve">When originally written, the First Amendment only applied to what level of government? </w:t>
            </w:r>
          </w:p>
        </w:tc>
        <w:tc>
          <w:tcPr>
            <w:tcW w:w="5400" w:type="dxa"/>
            <w:shd w:val="clear" w:color="auto" w:fill="auto"/>
            <w:tcMar>
              <w:top w:w="100" w:type="dxa"/>
              <w:left w:w="100" w:type="dxa"/>
              <w:bottom w:w="100" w:type="dxa"/>
              <w:right w:w="100" w:type="dxa"/>
            </w:tcMar>
          </w:tcPr>
          <w:p w:rsidR="00FF3479" w:rsidRDefault="00FF3479">
            <w:pPr>
              <w:widowControl w:val="0"/>
              <w:pBdr>
                <w:top w:val="nil"/>
                <w:left w:val="nil"/>
                <w:bottom w:val="nil"/>
                <w:right w:val="nil"/>
                <w:between w:val="nil"/>
              </w:pBdr>
              <w:spacing w:line="240" w:lineRule="auto"/>
              <w:rPr>
                <w:rFonts w:ascii="Calibri" w:eastAsia="Calibri" w:hAnsi="Calibri" w:cs="Calibri"/>
                <w:color w:val="002060"/>
                <w:sz w:val="28"/>
                <w:szCs w:val="28"/>
              </w:rPr>
            </w:pPr>
          </w:p>
        </w:tc>
      </w:tr>
      <w:tr w:rsidR="00FF3479">
        <w:tc>
          <w:tcPr>
            <w:tcW w:w="5400" w:type="dxa"/>
            <w:shd w:val="clear" w:color="auto" w:fill="D9EAD3"/>
            <w:tcMar>
              <w:top w:w="100" w:type="dxa"/>
              <w:left w:w="100" w:type="dxa"/>
              <w:bottom w:w="100" w:type="dxa"/>
              <w:right w:w="100" w:type="dxa"/>
            </w:tcMar>
          </w:tcPr>
          <w:p w:rsidR="00FF3479" w:rsidRDefault="00C25B6C">
            <w:pPr>
              <w:widowControl w:val="0"/>
              <w:pBdr>
                <w:top w:val="nil"/>
                <w:left w:val="nil"/>
                <w:bottom w:val="nil"/>
                <w:right w:val="nil"/>
                <w:between w:val="nil"/>
              </w:pBdr>
              <w:spacing w:line="240" w:lineRule="auto"/>
              <w:rPr>
                <w:rFonts w:ascii="Calibri" w:eastAsia="Calibri" w:hAnsi="Calibri" w:cs="Calibri"/>
                <w:color w:val="002060"/>
                <w:sz w:val="28"/>
                <w:szCs w:val="28"/>
              </w:rPr>
            </w:pPr>
            <w:r>
              <w:rPr>
                <w:rFonts w:ascii="Calibri" w:eastAsia="Calibri" w:hAnsi="Calibri" w:cs="Calibri"/>
                <w:b/>
                <w:color w:val="002060"/>
                <w:sz w:val="28"/>
                <w:szCs w:val="28"/>
              </w:rPr>
              <w:t>What amendment changed that?</w:t>
            </w:r>
          </w:p>
        </w:tc>
        <w:tc>
          <w:tcPr>
            <w:tcW w:w="5400" w:type="dxa"/>
            <w:shd w:val="clear" w:color="auto" w:fill="auto"/>
            <w:tcMar>
              <w:top w:w="100" w:type="dxa"/>
              <w:left w:w="100" w:type="dxa"/>
              <w:bottom w:w="100" w:type="dxa"/>
              <w:right w:w="100" w:type="dxa"/>
            </w:tcMar>
          </w:tcPr>
          <w:p w:rsidR="00FF3479" w:rsidRDefault="00FF3479">
            <w:pPr>
              <w:widowControl w:val="0"/>
              <w:pBdr>
                <w:top w:val="nil"/>
                <w:left w:val="nil"/>
                <w:bottom w:val="nil"/>
                <w:right w:val="nil"/>
                <w:between w:val="nil"/>
              </w:pBdr>
              <w:spacing w:line="240" w:lineRule="auto"/>
              <w:rPr>
                <w:rFonts w:ascii="Calibri" w:eastAsia="Calibri" w:hAnsi="Calibri" w:cs="Calibri"/>
                <w:color w:val="002060"/>
                <w:sz w:val="28"/>
                <w:szCs w:val="28"/>
              </w:rPr>
            </w:pPr>
          </w:p>
          <w:p w:rsidR="00FF3479" w:rsidRDefault="00FF3479">
            <w:pPr>
              <w:widowControl w:val="0"/>
              <w:pBdr>
                <w:top w:val="nil"/>
                <w:left w:val="nil"/>
                <w:bottom w:val="nil"/>
                <w:right w:val="nil"/>
                <w:between w:val="nil"/>
              </w:pBdr>
              <w:spacing w:line="240" w:lineRule="auto"/>
              <w:rPr>
                <w:rFonts w:ascii="Calibri" w:eastAsia="Calibri" w:hAnsi="Calibri" w:cs="Calibri"/>
                <w:color w:val="002060"/>
                <w:sz w:val="28"/>
                <w:szCs w:val="28"/>
              </w:rPr>
            </w:pPr>
          </w:p>
        </w:tc>
      </w:tr>
    </w:tbl>
    <w:p w:rsidR="00FF3479" w:rsidRDefault="00FF3479">
      <w:pPr>
        <w:spacing w:line="240" w:lineRule="auto"/>
        <w:rPr>
          <w:rFonts w:ascii="Calibri" w:eastAsia="Calibri" w:hAnsi="Calibri" w:cs="Calibri"/>
          <w:color w:val="002060"/>
          <w:sz w:val="28"/>
          <w:szCs w:val="28"/>
        </w:rPr>
      </w:pPr>
    </w:p>
    <w:p w:rsidR="00FF3479" w:rsidRDefault="00C25B6C">
      <w:pPr>
        <w:spacing w:line="240" w:lineRule="auto"/>
        <w:rPr>
          <w:rFonts w:ascii="Calibri" w:eastAsia="Calibri" w:hAnsi="Calibri" w:cs="Calibri"/>
          <w:b/>
          <w:color w:val="002060"/>
          <w:sz w:val="28"/>
          <w:szCs w:val="28"/>
        </w:rPr>
      </w:pPr>
      <w:bookmarkStart w:id="1" w:name="_Hlk126074903"/>
      <w:r>
        <w:rPr>
          <w:rFonts w:ascii="Calibri" w:eastAsia="Calibri" w:hAnsi="Calibri" w:cs="Calibri"/>
          <w:b/>
          <w:color w:val="002060"/>
          <w:sz w:val="28"/>
          <w:szCs w:val="28"/>
        </w:rPr>
        <w:t>FOUNDING STORIES</w:t>
      </w:r>
    </w:p>
    <w:p w:rsidR="0018446E" w:rsidRDefault="00434D12">
      <w:pPr>
        <w:spacing w:line="240" w:lineRule="auto"/>
        <w:rPr>
          <w:rFonts w:ascii="Calibri" w:eastAsia="Calibri" w:hAnsi="Calibri" w:cs="Calibri"/>
          <w:color w:val="002060"/>
          <w:sz w:val="28"/>
          <w:szCs w:val="28"/>
        </w:rPr>
      </w:pPr>
      <w:r>
        <w:rPr>
          <w:rFonts w:ascii="Calibri" w:eastAsia="Calibri" w:hAnsi="Calibri" w:cs="Calibri"/>
          <w:color w:val="002060"/>
          <w:sz w:val="28"/>
          <w:szCs w:val="28"/>
        </w:rPr>
        <w:t xml:space="preserve">Pick two times in U.S. History when laws or acts were created to either restrict or expand Freedom of Speech.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050"/>
        <w:gridCol w:w="4050"/>
      </w:tblGrid>
      <w:tr w:rsidR="00FF3479">
        <w:tc>
          <w:tcPr>
            <w:tcW w:w="2700" w:type="dxa"/>
            <w:shd w:val="clear" w:color="auto" w:fill="D9EAD3"/>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bookmarkStart w:id="2" w:name="_GoBack" w:colFirst="1" w:colLast="2"/>
            <w:bookmarkEnd w:id="1"/>
          </w:p>
        </w:tc>
        <w:tc>
          <w:tcPr>
            <w:tcW w:w="4050" w:type="dxa"/>
            <w:shd w:val="clear" w:color="auto" w:fill="D9EAD3"/>
            <w:tcMar>
              <w:top w:w="100" w:type="dxa"/>
              <w:left w:w="100" w:type="dxa"/>
              <w:bottom w:w="100" w:type="dxa"/>
              <w:right w:w="100" w:type="dxa"/>
            </w:tcMar>
          </w:tcPr>
          <w:p w:rsidR="00FF3479" w:rsidRDefault="0018446E" w:rsidP="0018446E">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Story One: </w:t>
            </w:r>
          </w:p>
          <w:p w:rsidR="00434D12" w:rsidRDefault="00434D12" w:rsidP="0018446E">
            <w:pPr>
              <w:widowControl w:val="0"/>
              <w:spacing w:line="240" w:lineRule="auto"/>
              <w:rPr>
                <w:rFonts w:ascii="Calibri" w:eastAsia="Calibri" w:hAnsi="Calibri" w:cs="Calibri"/>
                <w:b/>
                <w:color w:val="002060"/>
                <w:sz w:val="28"/>
                <w:szCs w:val="28"/>
              </w:rPr>
            </w:pPr>
          </w:p>
        </w:tc>
        <w:tc>
          <w:tcPr>
            <w:tcW w:w="4050" w:type="dxa"/>
            <w:shd w:val="clear" w:color="auto" w:fill="D9EAD3"/>
            <w:tcMar>
              <w:top w:w="100" w:type="dxa"/>
              <w:left w:w="100" w:type="dxa"/>
              <w:bottom w:w="100" w:type="dxa"/>
              <w:right w:w="100" w:type="dxa"/>
            </w:tcMar>
          </w:tcPr>
          <w:p w:rsidR="00FF3479" w:rsidRDefault="0018446E" w:rsidP="0018446E">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Story Two: </w:t>
            </w:r>
          </w:p>
        </w:tc>
      </w:tr>
      <w:bookmarkEnd w:id="2"/>
      <w:tr w:rsidR="00FF3479">
        <w:tc>
          <w:tcPr>
            <w:tcW w:w="270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Who created </w:t>
            </w:r>
            <w:r w:rsidR="00434D12">
              <w:rPr>
                <w:rFonts w:ascii="Calibri" w:eastAsia="Calibri" w:hAnsi="Calibri" w:cs="Calibri"/>
                <w:b/>
                <w:color w:val="002060"/>
                <w:sz w:val="28"/>
                <w:szCs w:val="28"/>
              </w:rPr>
              <w:t>the laws/acts</w:t>
            </w:r>
            <w:r>
              <w:rPr>
                <w:rFonts w:ascii="Calibri" w:eastAsia="Calibri" w:hAnsi="Calibri" w:cs="Calibri"/>
                <w:b/>
                <w:color w:val="002060"/>
                <w:sz w:val="28"/>
                <w:szCs w:val="28"/>
              </w:rPr>
              <w:t>?</w:t>
            </w: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r>
      <w:tr w:rsidR="00FF3479">
        <w:tc>
          <w:tcPr>
            <w:tcW w:w="270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was happening in the United States when these were created?</w:t>
            </w: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r>
      <w:tr w:rsidR="00FF3479">
        <w:tc>
          <w:tcPr>
            <w:tcW w:w="270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did the </w:t>
            </w:r>
            <w:r w:rsidR="00434D12">
              <w:rPr>
                <w:rFonts w:ascii="Calibri" w:eastAsia="Calibri" w:hAnsi="Calibri" w:cs="Calibri"/>
                <w:b/>
                <w:color w:val="002060"/>
                <w:sz w:val="28"/>
                <w:szCs w:val="28"/>
              </w:rPr>
              <w:t>laws</w:t>
            </w:r>
            <w:r>
              <w:rPr>
                <w:rFonts w:ascii="Calibri" w:eastAsia="Calibri" w:hAnsi="Calibri" w:cs="Calibri"/>
                <w:b/>
                <w:color w:val="002060"/>
                <w:sz w:val="28"/>
                <w:szCs w:val="28"/>
              </w:rPr>
              <w:t xml:space="preserve"> do?</w:t>
            </w: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r>
      <w:tr w:rsidR="00FF3479">
        <w:tc>
          <w:tcPr>
            <w:tcW w:w="270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was the response?</w:t>
            </w: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c>
          <w:tcPr>
            <w:tcW w:w="405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color w:val="002060"/>
                <w:sz w:val="28"/>
                <w:szCs w:val="28"/>
              </w:rPr>
            </w:pPr>
          </w:p>
        </w:tc>
      </w:tr>
    </w:tbl>
    <w:p w:rsidR="00FF3479" w:rsidRDefault="00C25B6C">
      <w:pPr>
        <w:spacing w:line="240" w:lineRule="auto"/>
        <w:rPr>
          <w:rFonts w:ascii="Calibri" w:eastAsia="Calibri" w:hAnsi="Calibri" w:cs="Calibri"/>
          <w:color w:val="002060"/>
          <w:sz w:val="28"/>
          <w:szCs w:val="28"/>
        </w:rPr>
      </w:pPr>
      <w:r>
        <w:br w:type="page"/>
      </w:r>
    </w:p>
    <w:p w:rsidR="00FF3479" w:rsidRDefault="00C25B6C">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lastRenderedPageBreak/>
        <w:t xml:space="preserve">MODERN FIRST AMENDMENT INTERPRETATIONS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6525"/>
      </w:tblGrid>
      <w:tr w:rsidR="00FF3479">
        <w:trPr>
          <w:trHeight w:val="480"/>
        </w:trPr>
        <w:tc>
          <w:tcPr>
            <w:tcW w:w="10800" w:type="dxa"/>
            <w:gridSpan w:val="2"/>
            <w:shd w:val="clear" w:color="auto" w:fill="B6D7A8"/>
            <w:tcMar>
              <w:top w:w="100" w:type="dxa"/>
              <w:left w:w="100" w:type="dxa"/>
              <w:bottom w:w="100" w:type="dxa"/>
              <w:right w:w="100" w:type="dxa"/>
            </w:tcMar>
          </w:tcPr>
          <w:p w:rsidR="00FF3479" w:rsidRDefault="00C25B6C">
            <w:pPr>
              <w:widowControl w:val="0"/>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Provide details about one Freedom of Speech Supreme Court case discussed between 1910 and 1970.</w:t>
            </w:r>
          </w:p>
        </w:tc>
      </w:tr>
      <w:tr w:rsidR="00FF3479">
        <w:tc>
          <w:tcPr>
            <w:tcW w:w="4275"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Who was involved?</w:t>
            </w:r>
          </w:p>
        </w:tc>
        <w:tc>
          <w:tcPr>
            <w:tcW w:w="6525"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275"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was the issue of the case?</w:t>
            </w:r>
          </w:p>
        </w:tc>
        <w:tc>
          <w:tcPr>
            <w:tcW w:w="6525"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275"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How did the Supreme Court rule?</w:t>
            </w:r>
          </w:p>
        </w:tc>
        <w:tc>
          <w:tcPr>
            <w:tcW w:w="6525"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275"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does the decision show about the changing views of Freedom of Speech during this time period?</w:t>
            </w:r>
          </w:p>
        </w:tc>
        <w:tc>
          <w:tcPr>
            <w:tcW w:w="6525"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bl>
    <w:p w:rsidR="00FF3479" w:rsidRDefault="00FF3479">
      <w:pPr>
        <w:spacing w:line="240" w:lineRule="auto"/>
        <w:rPr>
          <w:rFonts w:ascii="Calibri" w:eastAsia="Calibri" w:hAnsi="Calibri" w:cs="Calibri"/>
          <w:b/>
          <w:color w:val="002060"/>
          <w:sz w:val="28"/>
          <w:szCs w:val="28"/>
        </w:rPr>
      </w:pPr>
    </w:p>
    <w:p w:rsidR="00FF3479" w:rsidRDefault="00C25B6C">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Limited Speech Under the First Amendment</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6510"/>
      </w:tblGrid>
      <w:tr w:rsidR="00FF3479">
        <w:tc>
          <w:tcPr>
            <w:tcW w:w="429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is </w:t>
            </w:r>
            <w:r>
              <w:rPr>
                <w:rFonts w:ascii="Calibri" w:eastAsia="Calibri" w:hAnsi="Calibri" w:cs="Calibri"/>
                <w:b/>
                <w:color w:val="002060"/>
                <w:sz w:val="28"/>
                <w:szCs w:val="28"/>
                <w:u w:val="single"/>
              </w:rPr>
              <w:t>one</w:t>
            </w:r>
            <w:r>
              <w:rPr>
                <w:rFonts w:ascii="Calibri" w:eastAsia="Calibri" w:hAnsi="Calibri" w:cs="Calibri"/>
                <w:b/>
                <w:color w:val="002060"/>
                <w:sz w:val="28"/>
                <w:szCs w:val="28"/>
              </w:rPr>
              <w:t xml:space="preserve"> situation when the government can restrict speech?</w:t>
            </w:r>
          </w:p>
        </w:tc>
        <w:tc>
          <w:tcPr>
            <w:tcW w:w="651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29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is an example of this restriction?</w:t>
            </w:r>
          </w:p>
        </w:tc>
        <w:tc>
          <w:tcPr>
            <w:tcW w:w="651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bl>
    <w:p w:rsidR="00FF3479" w:rsidRDefault="00FF3479">
      <w:pPr>
        <w:spacing w:line="240" w:lineRule="auto"/>
      </w:pPr>
    </w:p>
    <w:p w:rsidR="00FF3479" w:rsidRDefault="00C25B6C">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FREE SPEECH IN SCHOOLS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480"/>
      </w:tblGrid>
      <w:tr w:rsidR="00FF3479">
        <w:trPr>
          <w:trHeight w:val="480"/>
        </w:trPr>
        <w:tc>
          <w:tcPr>
            <w:tcW w:w="10800" w:type="dxa"/>
            <w:gridSpan w:val="2"/>
            <w:shd w:val="clear" w:color="auto" w:fill="B6D7A8"/>
            <w:tcMar>
              <w:top w:w="100" w:type="dxa"/>
              <w:left w:w="100" w:type="dxa"/>
              <w:bottom w:w="100" w:type="dxa"/>
              <w:right w:w="100" w:type="dxa"/>
            </w:tcMar>
          </w:tcPr>
          <w:p w:rsidR="00FF3479" w:rsidRDefault="00C25B6C">
            <w:pPr>
              <w:widowControl w:val="0"/>
              <w:spacing w:line="240" w:lineRule="auto"/>
              <w:jc w:val="center"/>
              <w:rPr>
                <w:rFonts w:ascii="Calibri" w:eastAsia="Calibri" w:hAnsi="Calibri" w:cs="Calibri"/>
                <w:b/>
                <w:color w:val="002060"/>
                <w:sz w:val="34"/>
                <w:szCs w:val="34"/>
              </w:rPr>
            </w:pPr>
            <w:r>
              <w:rPr>
                <w:rFonts w:ascii="Calibri" w:eastAsia="Calibri" w:hAnsi="Calibri" w:cs="Calibri"/>
                <w:b/>
                <w:i/>
                <w:color w:val="002060"/>
                <w:sz w:val="28"/>
                <w:szCs w:val="28"/>
              </w:rPr>
              <w:t>Tinker v. Des Moines Independent Community School District</w:t>
            </w:r>
            <w:r>
              <w:rPr>
                <w:rFonts w:ascii="Calibri" w:eastAsia="Calibri" w:hAnsi="Calibri" w:cs="Calibri"/>
                <w:b/>
                <w:color w:val="002060"/>
                <w:sz w:val="28"/>
                <w:szCs w:val="28"/>
              </w:rPr>
              <w:t xml:space="preserve"> (1969)</w:t>
            </w:r>
          </w:p>
        </w:tc>
      </w:tr>
      <w:tr w:rsidR="00FF3479">
        <w:tc>
          <w:tcPr>
            <w:tcW w:w="432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is the background of this case?</w:t>
            </w:r>
          </w:p>
        </w:tc>
        <w:tc>
          <w:tcPr>
            <w:tcW w:w="648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32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did the Court decide?</w:t>
            </w:r>
          </w:p>
        </w:tc>
        <w:tc>
          <w:tcPr>
            <w:tcW w:w="648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32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is one other case involving speech in schools that the Court decided since </w:t>
            </w:r>
            <w:r>
              <w:rPr>
                <w:rFonts w:ascii="Calibri" w:eastAsia="Calibri" w:hAnsi="Calibri" w:cs="Calibri"/>
                <w:b/>
                <w:i/>
                <w:color w:val="002060"/>
                <w:sz w:val="28"/>
                <w:szCs w:val="28"/>
              </w:rPr>
              <w:t>Tinker</w:t>
            </w:r>
            <w:r>
              <w:rPr>
                <w:rFonts w:ascii="Calibri" w:eastAsia="Calibri" w:hAnsi="Calibri" w:cs="Calibri"/>
                <w:b/>
                <w:color w:val="002060"/>
                <w:sz w:val="28"/>
                <w:szCs w:val="28"/>
              </w:rPr>
              <w:t>?</w:t>
            </w:r>
          </w:p>
        </w:tc>
        <w:tc>
          <w:tcPr>
            <w:tcW w:w="648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r w:rsidR="00FF3479">
        <w:tc>
          <w:tcPr>
            <w:tcW w:w="4320" w:type="dxa"/>
            <w:shd w:val="clear" w:color="auto" w:fill="D9EAD3"/>
            <w:tcMar>
              <w:top w:w="100" w:type="dxa"/>
              <w:left w:w="100" w:type="dxa"/>
              <w:bottom w:w="100" w:type="dxa"/>
              <w:right w:w="100" w:type="dxa"/>
            </w:tcMar>
          </w:tcPr>
          <w:p w:rsidR="00FF3479" w:rsidRDefault="00C25B6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How does that case add to the understanding of speech in schools from </w:t>
            </w:r>
            <w:r>
              <w:rPr>
                <w:rFonts w:ascii="Calibri" w:eastAsia="Calibri" w:hAnsi="Calibri" w:cs="Calibri"/>
                <w:b/>
                <w:i/>
                <w:color w:val="002060"/>
                <w:sz w:val="28"/>
                <w:szCs w:val="28"/>
              </w:rPr>
              <w:t>Tinker</w:t>
            </w:r>
            <w:r>
              <w:rPr>
                <w:rFonts w:ascii="Calibri" w:eastAsia="Calibri" w:hAnsi="Calibri" w:cs="Calibri"/>
                <w:b/>
                <w:color w:val="002060"/>
                <w:sz w:val="28"/>
                <w:szCs w:val="28"/>
              </w:rPr>
              <w:t>?</w:t>
            </w:r>
          </w:p>
        </w:tc>
        <w:tc>
          <w:tcPr>
            <w:tcW w:w="6480" w:type="dxa"/>
            <w:shd w:val="clear" w:color="auto" w:fill="auto"/>
            <w:tcMar>
              <w:top w:w="100" w:type="dxa"/>
              <w:left w:w="100" w:type="dxa"/>
              <w:bottom w:w="100" w:type="dxa"/>
              <w:right w:w="100" w:type="dxa"/>
            </w:tcMar>
          </w:tcPr>
          <w:p w:rsidR="00FF3479" w:rsidRDefault="00FF3479">
            <w:pPr>
              <w:widowControl w:val="0"/>
              <w:spacing w:line="240" w:lineRule="auto"/>
              <w:rPr>
                <w:rFonts w:ascii="Calibri" w:eastAsia="Calibri" w:hAnsi="Calibri" w:cs="Calibri"/>
                <w:b/>
                <w:color w:val="002060"/>
                <w:sz w:val="28"/>
                <w:szCs w:val="28"/>
              </w:rPr>
            </w:pPr>
          </w:p>
        </w:tc>
      </w:tr>
    </w:tbl>
    <w:p w:rsidR="00FF3479" w:rsidRDefault="00FF3479">
      <w:pPr>
        <w:spacing w:line="240" w:lineRule="auto"/>
      </w:pPr>
    </w:p>
    <w:sectPr w:rsidR="00FF3479">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6C" w:rsidRDefault="00C25B6C">
      <w:pPr>
        <w:spacing w:line="240" w:lineRule="auto"/>
      </w:pPr>
      <w:r>
        <w:separator/>
      </w:r>
    </w:p>
  </w:endnote>
  <w:endnote w:type="continuationSeparator" w:id="0">
    <w:p w:rsidR="00C25B6C" w:rsidRDefault="00C25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79" w:rsidRDefault="00C25B6C">
    <w:pPr>
      <w:jc w:val="right"/>
    </w:pPr>
    <w:r>
      <w:fldChar w:fldCharType="begin"/>
    </w:r>
    <w:r>
      <w:instrText>PAGE</w:instrText>
    </w:r>
    <w:r w:rsidR="0018446E">
      <w:fldChar w:fldCharType="separate"/>
    </w:r>
    <w:r w:rsidR="001844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6C" w:rsidRDefault="00C25B6C">
      <w:pPr>
        <w:spacing w:line="240" w:lineRule="auto"/>
      </w:pPr>
      <w:r>
        <w:separator/>
      </w:r>
    </w:p>
  </w:footnote>
  <w:footnote w:type="continuationSeparator" w:id="0">
    <w:p w:rsidR="00C25B6C" w:rsidRDefault="00C25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79" w:rsidRDefault="00C25B6C">
    <w:pPr>
      <w:tabs>
        <w:tab w:val="center" w:pos="4680"/>
        <w:tab w:val="right" w:pos="9360"/>
      </w:tabs>
      <w:spacing w:line="240" w:lineRule="auto"/>
      <w:jc w:val="right"/>
      <w:rPr>
        <w:rFonts w:ascii="Calibri" w:eastAsia="Calibri" w:hAnsi="Calibri" w:cs="Calibri"/>
        <w:b/>
        <w:color w:val="002060"/>
        <w:sz w:val="24"/>
        <w:szCs w:val="24"/>
      </w:rPr>
    </w:pPr>
    <w:r>
      <w:rPr>
        <w:rFonts w:ascii="Calibri" w:eastAsia="Calibri" w:hAnsi="Calibri" w:cs="Calibri"/>
        <w:b/>
        <w:color w:val="002060"/>
        <w:sz w:val="24"/>
        <w:szCs w:val="24"/>
      </w:rPr>
      <w:t xml:space="preserve">Scholar Exchange: First Amendment – Speech and Press  </w:t>
    </w:r>
    <w:r>
      <w:rPr>
        <w:noProof/>
      </w:rPr>
      <w:drawing>
        <wp:anchor distT="0" distB="0" distL="114300" distR="114300" simplePos="0" relativeHeight="251658240" behindDoc="0" locked="0" layoutInCell="1" hidden="0" allowOverlap="1">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rsidR="00FF3479" w:rsidRDefault="00C25B6C">
    <w:pPr>
      <w:spacing w:line="240" w:lineRule="auto"/>
      <w:jc w:val="right"/>
      <w:rPr>
        <w:rFonts w:ascii="Calibri" w:eastAsia="Calibri" w:hAnsi="Calibri" w:cs="Calibri"/>
        <w:b/>
        <w:smallCaps/>
        <w:color w:val="0070C0"/>
        <w:sz w:val="24"/>
        <w:szCs w:val="24"/>
      </w:rPr>
    </w:pPr>
    <w:r>
      <w:rPr>
        <w:rFonts w:ascii="Calibri" w:eastAsia="Calibri" w:hAnsi="Calibri" w:cs="Calibri"/>
        <w:b/>
        <w:color w:val="002060"/>
        <w:sz w:val="24"/>
        <w:szCs w:val="24"/>
      </w:rPr>
      <w:t>Advanced Level Class Outline and Worksheet</w:t>
    </w:r>
  </w:p>
  <w:p w:rsidR="00FF3479" w:rsidRDefault="00FF3479">
    <w:pPr>
      <w:tabs>
        <w:tab w:val="center" w:pos="4680"/>
        <w:tab w:val="right" w:pos="9360"/>
      </w:tabs>
      <w:spacing w:line="240" w:lineRule="auto"/>
      <w:rPr>
        <w:rFonts w:ascii="Times New Roman" w:eastAsia="Times New Roman" w:hAnsi="Times New Roman" w:cs="Times New Roman"/>
        <w:sz w:val="24"/>
        <w:szCs w:val="24"/>
      </w:rPr>
    </w:pPr>
  </w:p>
  <w:p w:rsidR="00FF3479" w:rsidRDefault="00FF3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1E42"/>
    <w:multiLevelType w:val="hybridMultilevel"/>
    <w:tmpl w:val="05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56D48"/>
    <w:multiLevelType w:val="multilevel"/>
    <w:tmpl w:val="57782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EB2302"/>
    <w:multiLevelType w:val="multilevel"/>
    <w:tmpl w:val="99EA50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79"/>
    <w:rsid w:val="0018446E"/>
    <w:rsid w:val="00434D12"/>
    <w:rsid w:val="00C25B6C"/>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AEE4"/>
  <w15:docId w15:val="{3EBC3D66-0BBF-49A4-BF9F-1BB70AB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8446E"/>
    <w:rPr>
      <w:color w:val="0000FF" w:themeColor="hyperlink"/>
      <w:u w:val="single"/>
    </w:rPr>
  </w:style>
  <w:style w:type="character" w:styleId="UnresolvedMention">
    <w:name w:val="Unresolved Mention"/>
    <w:basedOn w:val="DefaultParagraphFont"/>
    <w:uiPriority w:val="99"/>
    <w:semiHidden/>
    <w:unhideWhenUsed/>
    <w:rsid w:val="0018446E"/>
    <w:rPr>
      <w:color w:val="605E5C"/>
      <w:shd w:val="clear" w:color="auto" w:fill="E1DFDD"/>
    </w:rPr>
  </w:style>
  <w:style w:type="paragraph" w:styleId="ListParagraph">
    <w:name w:val="List Paragraph"/>
    <w:basedOn w:val="Normal"/>
    <w:uiPriority w:val="34"/>
    <w:qFormat/>
    <w:rsid w:val="0018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education/classroom-resources-by-topic/first-amendment-speech-and-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2023-01-31T21:29:00Z</dcterms:created>
  <dcterms:modified xsi:type="dcterms:W3CDTF">2023-01-31T21:29:00Z</dcterms:modified>
</cp:coreProperties>
</file>